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FE" w:rsidRDefault="001B3BFE" w:rsidP="001B3BFE">
      <w:pPr>
        <w:rPr>
          <w:b/>
          <w:u w:val="single"/>
        </w:rPr>
      </w:pPr>
      <w:r w:rsidRPr="001B3BFE">
        <w:rPr>
          <w:b/>
          <w:u w:val="single"/>
        </w:rPr>
        <w:t xml:space="preserve">Course book: </w:t>
      </w:r>
    </w:p>
    <w:p w:rsidR="001B3BFE" w:rsidRPr="001B3BFE" w:rsidRDefault="001B3BFE" w:rsidP="001B3BFE">
      <w:pPr>
        <w:rPr>
          <w:b/>
          <w:u w:val="single"/>
        </w:rPr>
      </w:pPr>
    </w:p>
    <w:p w:rsidR="001B3BFE" w:rsidRDefault="001B3BFE" w:rsidP="001B3BFE">
      <w:r>
        <w:t>Principles of Terrestrial Ecosystem Ecology (2011). Chapin F.S. III, P.A. Matson, and P.M. Vitousek. Springer Science + Business Media, LLC, New York.</w:t>
      </w:r>
    </w:p>
    <w:p w:rsidR="001B3BFE" w:rsidRDefault="001B3BFE" w:rsidP="001B3BFE"/>
    <w:p w:rsidR="001B3BFE" w:rsidRPr="001B3BFE" w:rsidRDefault="001B3BFE" w:rsidP="001B3BFE">
      <w:pPr>
        <w:rPr>
          <w:b/>
          <w:u w:val="single"/>
        </w:rPr>
      </w:pPr>
      <w:r w:rsidRPr="001B3BFE">
        <w:rPr>
          <w:b/>
          <w:u w:val="single"/>
        </w:rPr>
        <w:t xml:space="preserve">Modules </w:t>
      </w:r>
      <w:r w:rsidRPr="001B3BFE">
        <w:rPr>
          <w:b/>
          <w:u w:val="single"/>
        </w:rPr>
        <w:t>– reading list</w:t>
      </w:r>
      <w:r>
        <w:rPr>
          <w:b/>
          <w:u w:val="single"/>
        </w:rPr>
        <w:t>:</w:t>
      </w:r>
    </w:p>
    <w:p w:rsidR="001B3BFE" w:rsidRDefault="001B3BFE" w:rsidP="001B3BFE"/>
    <w:p w:rsidR="001B3BFE" w:rsidRPr="0015517A" w:rsidRDefault="001B3BFE" w:rsidP="001B3BFE">
      <w:pPr>
        <w:rPr>
          <w:b/>
          <w:i/>
        </w:rPr>
      </w:pPr>
      <w:r w:rsidRPr="0015517A">
        <w:rPr>
          <w:b/>
          <w:i/>
        </w:rPr>
        <w:t>Introduction to forest ecosystem ecology</w:t>
      </w:r>
    </w:p>
    <w:p w:rsidR="001B3BFE" w:rsidRDefault="001B3BFE" w:rsidP="001B3BFE">
      <w:pPr>
        <w:tabs>
          <w:tab w:val="left" w:pos="720"/>
        </w:tabs>
      </w:pPr>
      <w:r>
        <w:t>•</w:t>
      </w:r>
      <w:r>
        <w:tab/>
        <w:t xml:space="preserve">Course book chapter 1 </w:t>
      </w:r>
    </w:p>
    <w:p w:rsidR="001B3BFE" w:rsidRDefault="001B3BFE" w:rsidP="001B3BFE"/>
    <w:p w:rsidR="001B3BFE" w:rsidRPr="0015517A" w:rsidRDefault="001B3BFE" w:rsidP="001B3BFE">
      <w:pPr>
        <w:rPr>
          <w:b/>
          <w:i/>
        </w:rPr>
      </w:pPr>
      <w:r w:rsidRPr="0015517A">
        <w:rPr>
          <w:b/>
          <w:i/>
        </w:rPr>
        <w:t>Carbon</w:t>
      </w:r>
    </w:p>
    <w:p w:rsidR="001B3BFE" w:rsidRDefault="001B3BFE" w:rsidP="001B3BFE">
      <w:pPr>
        <w:tabs>
          <w:tab w:val="left" w:pos="720"/>
        </w:tabs>
      </w:pPr>
      <w:r>
        <w:t>•</w:t>
      </w:r>
      <w:r>
        <w:tab/>
        <w:t>Course book: chapters 5-7</w:t>
      </w:r>
    </w:p>
    <w:p w:rsidR="001B3BFE" w:rsidRDefault="001B3BFE" w:rsidP="001B3BFE">
      <w:pPr>
        <w:ind w:left="720" w:hanging="720"/>
      </w:pPr>
      <w:r>
        <w:t>•</w:t>
      </w:r>
      <w:r>
        <w:tab/>
      </w:r>
      <w:r>
        <w:t xml:space="preserve">Additional papers: </w:t>
      </w:r>
    </w:p>
    <w:p w:rsidR="001B3BFE" w:rsidRDefault="001B3BFE" w:rsidP="001B3BFE">
      <w:pPr>
        <w:ind w:left="720" w:hanging="720"/>
      </w:pPr>
    </w:p>
    <w:p w:rsidR="001B3BFE" w:rsidRDefault="001B3BFE" w:rsidP="001B3BFE">
      <w:pPr>
        <w:ind w:left="360" w:firstLine="944"/>
      </w:pPr>
      <w:r>
        <w:t>Koch et al 2004 The limits of tree height, Nature, 428:851-854.</w:t>
      </w:r>
    </w:p>
    <w:p w:rsidR="001B3BFE" w:rsidRDefault="001B3BFE" w:rsidP="001B3BFE"/>
    <w:p w:rsidR="001B3BFE" w:rsidRDefault="001B3BFE" w:rsidP="001B3BFE">
      <w:pPr>
        <w:ind w:left="1304"/>
      </w:pPr>
      <w:r>
        <w:t xml:space="preserve">Bonan, G. B., 2008 Forests and climate change: Forcings, Feedbacks, and the Climate Benefits of Forests, Science 320:1444-1449. </w:t>
      </w:r>
    </w:p>
    <w:p w:rsidR="001B3BFE" w:rsidRDefault="001B3BFE" w:rsidP="001B3BFE">
      <w:pPr>
        <w:ind w:firstLine="1304"/>
      </w:pPr>
    </w:p>
    <w:p w:rsidR="001B3BFE" w:rsidRDefault="001B3BFE" w:rsidP="001B3BFE">
      <w:pPr>
        <w:ind w:left="1304"/>
      </w:pPr>
      <w:r>
        <w:t>Wei et al., 2014 3-PG simulations of young ponderosa pine plantations under varied management intensity: Why do they grow so differently? Forest Ecology and Management, 313:69-81.</w:t>
      </w:r>
    </w:p>
    <w:p w:rsidR="001B3BFE" w:rsidRDefault="001B3BFE" w:rsidP="001B3BFE"/>
    <w:p w:rsidR="001B3BFE" w:rsidRDefault="001B3BFE" w:rsidP="001B3BFE">
      <w:pPr>
        <w:ind w:left="1304"/>
      </w:pPr>
      <w:r>
        <w:t>Janssens et al., 2001, 7, 269-278 Productivity overshadows temperature in determining soil and ecosystem respiration across European forests, Global Change Biology, 7:269-278.</w:t>
      </w:r>
    </w:p>
    <w:p w:rsidR="001B3BFE" w:rsidRDefault="001B3BFE" w:rsidP="001B3BFE"/>
    <w:p w:rsidR="001B3BFE" w:rsidRDefault="001B3BFE" w:rsidP="001B3BFE">
      <w:pPr>
        <w:ind w:left="1304"/>
      </w:pPr>
      <w:r>
        <w:t xml:space="preserve">Berg, B., 2018, Decomposing litter; limit values; humus accumulation, locally and regionally, Applied Soil Ecology, pp 494-508 </w:t>
      </w:r>
    </w:p>
    <w:p w:rsidR="001B3BFE" w:rsidRPr="001B3BFE" w:rsidRDefault="001B3BFE" w:rsidP="001B3BFE">
      <w:pPr>
        <w:rPr>
          <w:i/>
        </w:rPr>
      </w:pPr>
    </w:p>
    <w:p w:rsidR="001B3BFE" w:rsidRPr="0015517A" w:rsidRDefault="001B3BFE" w:rsidP="001B3BFE">
      <w:pPr>
        <w:rPr>
          <w:b/>
          <w:i/>
        </w:rPr>
      </w:pPr>
      <w:r w:rsidRPr="0015517A">
        <w:rPr>
          <w:b/>
          <w:i/>
        </w:rPr>
        <w:t>Water</w:t>
      </w:r>
    </w:p>
    <w:p w:rsidR="001B3BFE" w:rsidRDefault="001B3BFE" w:rsidP="001B3BFE">
      <w:r>
        <w:t>•</w:t>
      </w:r>
      <w:r>
        <w:tab/>
        <w:t>Course book chapters 4, 5 (p.129-133), 7 (p. 217-223), 9 (p. 263-266)</w:t>
      </w:r>
    </w:p>
    <w:p w:rsidR="001B3BFE" w:rsidRDefault="001B3BFE" w:rsidP="001B3BFE">
      <w:r>
        <w:t>•</w:t>
      </w:r>
      <w:r>
        <w:tab/>
        <w:t>Additional papers:</w:t>
      </w:r>
    </w:p>
    <w:p w:rsidR="001B3BFE" w:rsidRDefault="001B3BFE" w:rsidP="001B3BFE">
      <w:pPr>
        <w:ind w:firstLine="1304"/>
      </w:pPr>
    </w:p>
    <w:p w:rsidR="001B3BFE" w:rsidRDefault="001B3BFE" w:rsidP="001B3BFE">
      <w:pPr>
        <w:ind w:left="1304"/>
      </w:pPr>
      <w:r>
        <w:t>Ellison D. et al. 2017. Trees, forests and water: Cool insights for a hot world. Global Environmental Change 43: 51-61</w:t>
      </w:r>
    </w:p>
    <w:p w:rsidR="001B3BFE" w:rsidRDefault="001B3BFE" w:rsidP="001B3BFE"/>
    <w:p w:rsidR="001B3BFE" w:rsidRDefault="001B3BFE" w:rsidP="001B3BFE">
      <w:pPr>
        <w:ind w:left="1304"/>
      </w:pPr>
      <w:r>
        <w:t>Evaristo J. et al. 2015. Global separation of plant transpiration from groundwater and streamflow. Nature 525: 91-94</w:t>
      </w:r>
    </w:p>
    <w:p w:rsidR="001B3BFE" w:rsidRDefault="001B3BFE" w:rsidP="001B3BFE"/>
    <w:p w:rsidR="001B3BFE" w:rsidRDefault="001B3BFE" w:rsidP="001B3BFE">
      <w:pPr>
        <w:ind w:left="1304"/>
      </w:pPr>
      <w:r>
        <w:t>Allen G.H. and Pavelsky T. M. 2018. Global extent of rivers and streams. Science 361: 585-588.</w:t>
      </w:r>
      <w:r>
        <w:t xml:space="preserve"> </w:t>
      </w:r>
    </w:p>
    <w:p w:rsidR="001B3BFE" w:rsidRDefault="001B3BFE" w:rsidP="001B3BFE">
      <w:pPr>
        <w:ind w:left="1304"/>
      </w:pPr>
    </w:p>
    <w:p w:rsidR="00F13398" w:rsidRPr="0015517A" w:rsidRDefault="00F13398" w:rsidP="001B3BFE">
      <w:pPr>
        <w:rPr>
          <w:b/>
          <w:i/>
        </w:rPr>
      </w:pPr>
      <w:r w:rsidRPr="0015517A">
        <w:rPr>
          <w:b/>
          <w:i/>
        </w:rPr>
        <w:t>Cycling of nutrients, hydrogen ions and element biogeochemistry</w:t>
      </w:r>
    </w:p>
    <w:p w:rsidR="001B3BFE" w:rsidRDefault="001B3BFE" w:rsidP="001B3BFE">
      <w:r>
        <w:t>•</w:t>
      </w:r>
      <w:r>
        <w:tab/>
        <w:t>Course book chapter 9 (197-220)</w:t>
      </w:r>
    </w:p>
    <w:p w:rsidR="001B3BFE" w:rsidRDefault="001B3BFE" w:rsidP="001B3BFE">
      <w:r>
        <w:t>•</w:t>
      </w:r>
      <w:r>
        <w:tab/>
        <w:t>Additional papers:</w:t>
      </w:r>
    </w:p>
    <w:p w:rsidR="001B3BFE" w:rsidRDefault="001B3BFE" w:rsidP="001B3BFE">
      <w:pPr>
        <w:ind w:left="1304"/>
      </w:pPr>
    </w:p>
    <w:p w:rsidR="001B3BFE" w:rsidRDefault="001B3BFE" w:rsidP="001B3BFE">
      <w:pPr>
        <w:ind w:left="1304"/>
      </w:pPr>
      <w:r>
        <w:t>Van Breemen et al., 1983. Acidification and alkalinization of soils. Plant and soil 75:283-308.</w:t>
      </w:r>
    </w:p>
    <w:p w:rsidR="001B3BFE" w:rsidRDefault="001B3BFE" w:rsidP="001B3BFE">
      <w:pPr>
        <w:ind w:firstLine="1304"/>
      </w:pPr>
    </w:p>
    <w:p w:rsidR="001B3BFE" w:rsidRDefault="001B3BFE" w:rsidP="001B3BFE">
      <w:pPr>
        <w:ind w:left="1304"/>
      </w:pPr>
      <w:r>
        <w:t>A.J.B. Zehnder and B.H. Svensson, 1986, Life without oxygen: what can and what cannot? Experimentia 42: 1197-1205</w:t>
      </w:r>
    </w:p>
    <w:p w:rsidR="00206B64" w:rsidRDefault="00206B64">
      <w:r>
        <w:br w:type="page"/>
      </w:r>
    </w:p>
    <w:p w:rsidR="0015517A" w:rsidRDefault="0015517A" w:rsidP="001B3BFE"/>
    <w:p w:rsidR="001B3BFE" w:rsidRPr="0015517A" w:rsidRDefault="0015517A" w:rsidP="001B3BFE">
      <w:pPr>
        <w:rPr>
          <w:b/>
          <w:i/>
        </w:rPr>
      </w:pPr>
      <w:r w:rsidRPr="0015517A">
        <w:rPr>
          <w:b/>
          <w:i/>
        </w:rPr>
        <w:t>Microbes, soil fauna, and soil food webs</w:t>
      </w:r>
    </w:p>
    <w:p w:rsidR="001B3BFE" w:rsidRDefault="001B3BFE" w:rsidP="001B3BFE">
      <w:r>
        <w:t>•</w:t>
      </w:r>
      <w:r>
        <w:tab/>
        <w:t>Course book chapters: 7, 8, 9</w:t>
      </w:r>
    </w:p>
    <w:p w:rsidR="001B3BFE" w:rsidRDefault="001B3BFE" w:rsidP="001B3BFE">
      <w:r>
        <w:t>•</w:t>
      </w:r>
      <w:r>
        <w:tab/>
        <w:t>Additional papers:</w:t>
      </w:r>
    </w:p>
    <w:p w:rsidR="001B3BFE" w:rsidRDefault="001B3BFE" w:rsidP="001B3BFE"/>
    <w:p w:rsidR="001B3BFE" w:rsidRDefault="001B3BFE" w:rsidP="001B3BFE">
      <w:pPr>
        <w:ind w:left="1304"/>
      </w:pPr>
      <w:r>
        <w:t>Crowther et al. (2019). The global soil community and its influence on biogeochemistry. Science 365, DOI: 10.1126/science.aav0550</w:t>
      </w:r>
    </w:p>
    <w:p w:rsidR="001B3BFE" w:rsidRDefault="001B3BFE" w:rsidP="001B3BFE">
      <w:bookmarkStart w:id="0" w:name="_GoBack"/>
      <w:bookmarkEnd w:id="0"/>
    </w:p>
    <w:p w:rsidR="001B3BFE" w:rsidRDefault="001B3BFE" w:rsidP="001B3BFE">
      <w:pPr>
        <w:ind w:left="1304"/>
      </w:pPr>
      <w:r>
        <w:t>Bennett et al (2017). Plant-soil feedbacks and mycorrhizal type influence temperate forest population dynamics. Science 355: 181-184.</w:t>
      </w:r>
    </w:p>
    <w:p w:rsidR="00206B64" w:rsidRDefault="00206B64" w:rsidP="001B3BFE">
      <w:pPr>
        <w:ind w:left="1304"/>
      </w:pPr>
    </w:p>
    <w:p w:rsidR="00206B64" w:rsidRDefault="00206B64" w:rsidP="00206B64">
      <w:pPr>
        <w:ind w:left="1304"/>
      </w:pPr>
      <w:r>
        <w:t>Thakur</w:t>
      </w:r>
      <w:r>
        <w:t xml:space="preserve"> &amp; </w:t>
      </w:r>
      <w:r>
        <w:t>Geisen</w:t>
      </w:r>
      <w:r>
        <w:t xml:space="preserve"> (2019). </w:t>
      </w:r>
      <w:r>
        <w:t>Trophic Regulations of the Soil Microbiome</w:t>
      </w:r>
      <w:r>
        <w:t xml:space="preserve">. </w:t>
      </w:r>
      <w:r>
        <w:t>Trends in Microbiology</w:t>
      </w:r>
      <w:r>
        <w:t xml:space="preserve"> 27: </w:t>
      </w:r>
      <w:r>
        <w:t>771-780</w:t>
      </w:r>
      <w:r>
        <w:t xml:space="preserve">. </w:t>
      </w:r>
    </w:p>
    <w:p w:rsidR="00206B64" w:rsidRDefault="00206B64" w:rsidP="001B3BFE">
      <w:pPr>
        <w:ind w:left="1304"/>
      </w:pPr>
    </w:p>
    <w:p w:rsidR="00206B64" w:rsidRDefault="00206B64" w:rsidP="001B3BFE">
      <w:pPr>
        <w:ind w:left="1304"/>
      </w:pPr>
      <w:r>
        <w:t xml:space="preserve">Potapov (2021). </w:t>
      </w:r>
      <w:r w:rsidRPr="00206B64">
        <w:t>Multifunctionality of belowground food webs: 1 resource, size and spatial energy channels</w:t>
      </w:r>
      <w:r>
        <w:t>.</w:t>
      </w:r>
      <w:r w:rsidRPr="00206B64">
        <w:t xml:space="preserve"> bioRxiv preprint doi: </w:t>
      </w:r>
      <w:hyperlink r:id="rId6" w:history="1">
        <w:r w:rsidRPr="00904410">
          <w:rPr>
            <w:rStyle w:val="Hyperlink"/>
          </w:rPr>
          <w:t>https://doi.org/10.1101/2021.06.06.447267</w:t>
        </w:r>
      </w:hyperlink>
      <w:r>
        <w:t>.</w:t>
      </w:r>
    </w:p>
    <w:p w:rsidR="001B3BFE" w:rsidRDefault="001B3BFE" w:rsidP="001B3BFE"/>
    <w:p w:rsidR="001B3BFE" w:rsidRPr="0015517A" w:rsidRDefault="0015517A" w:rsidP="001B3BFE">
      <w:pPr>
        <w:rPr>
          <w:b/>
          <w:i/>
        </w:rPr>
      </w:pPr>
      <w:r w:rsidRPr="0015517A">
        <w:rPr>
          <w:b/>
          <w:i/>
        </w:rPr>
        <w:t>The role of biodiversity in ecosystem functioning</w:t>
      </w:r>
    </w:p>
    <w:p w:rsidR="001B3BFE" w:rsidRDefault="001B3BFE" w:rsidP="001B3BFE">
      <w:r>
        <w:t>•</w:t>
      </w:r>
      <w:r>
        <w:tab/>
        <w:t>Course book chapters: 8, 10</w:t>
      </w:r>
      <w:r>
        <w:t>, 11, 13</w:t>
      </w:r>
    </w:p>
    <w:p w:rsidR="001B3BFE" w:rsidRDefault="001B3BFE" w:rsidP="001B3BFE">
      <w:r>
        <w:t>•</w:t>
      </w:r>
      <w:r>
        <w:tab/>
        <w:t xml:space="preserve">Additional papers: </w:t>
      </w:r>
    </w:p>
    <w:p w:rsidR="001B3BFE" w:rsidRDefault="001B3BFE" w:rsidP="001B3BFE"/>
    <w:p w:rsidR="001B3BFE" w:rsidRDefault="001B3BFE" w:rsidP="001B3BFE">
      <w:pPr>
        <w:ind w:left="1304"/>
      </w:pPr>
      <w:r>
        <w:t>Richardson, J. S., &amp; Sato, T. (2015). Resource subsidy flows across freshwater-terrestrial boundaries and influence on processes linking adjacent ecosystems. Ecohydrology, 415(April 2014), 406–415. https://doi.org/10.1002/eco.1488</w:t>
      </w:r>
    </w:p>
    <w:p w:rsidR="001B3BFE" w:rsidRDefault="001B3BFE" w:rsidP="001B3BFE"/>
    <w:p w:rsidR="001B3BFE" w:rsidRDefault="001B3BFE" w:rsidP="001B3BFE">
      <w:pPr>
        <w:ind w:left="1304"/>
      </w:pPr>
      <w:r>
        <w:t>Wardle et al. (2004). Ecological linkages between aboveground and belowground biota. Science 304: 1629-1633.</w:t>
      </w:r>
    </w:p>
    <w:p w:rsidR="001B3BFE" w:rsidRDefault="001B3BFE" w:rsidP="001B3BFE"/>
    <w:p w:rsidR="001B3BFE" w:rsidRDefault="001B3BFE" w:rsidP="001B3BFE">
      <w:pPr>
        <w:ind w:left="1304"/>
      </w:pPr>
      <w:r>
        <w:t>Boonstra et al. 2016. Why do the boreal forest ecosystems of northwestern Europe differ from those of Western North America? Bioscience 66: 722-734.</w:t>
      </w:r>
    </w:p>
    <w:p w:rsidR="001B3BFE" w:rsidRDefault="001B3BFE" w:rsidP="001B3BFE"/>
    <w:p w:rsidR="001B3BFE" w:rsidRDefault="001B3BFE" w:rsidP="001B3BFE">
      <w:pPr>
        <w:ind w:left="1304"/>
      </w:pPr>
      <w:r>
        <w:t>Hooper et al. 2005. Effects of biodiversity on ecosystem functioning: A consensus of current knowledge. Ecological monographs 75: 3-35.</w:t>
      </w:r>
    </w:p>
    <w:p w:rsidR="001B3BFE" w:rsidRDefault="001B3BFE" w:rsidP="001B3BFE"/>
    <w:p w:rsidR="0015517A" w:rsidRPr="0015517A" w:rsidRDefault="0015517A" w:rsidP="001B3BFE">
      <w:pPr>
        <w:rPr>
          <w:b/>
          <w:i/>
        </w:rPr>
      </w:pPr>
      <w:r w:rsidRPr="0015517A">
        <w:rPr>
          <w:b/>
          <w:i/>
        </w:rPr>
        <w:t xml:space="preserve">Global perspectives of forest ecosystems </w:t>
      </w:r>
    </w:p>
    <w:p w:rsidR="001B3BFE" w:rsidRDefault="001B3BFE" w:rsidP="001B3BFE">
      <w:r>
        <w:t>•</w:t>
      </w:r>
      <w:r>
        <w:tab/>
        <w:t>Course book chapters 14</w:t>
      </w:r>
    </w:p>
    <w:p w:rsidR="001B3BFE" w:rsidRDefault="001B3BFE" w:rsidP="001B3BFE">
      <w:r>
        <w:t>•</w:t>
      </w:r>
      <w:r>
        <w:tab/>
        <w:t>Additional papers:</w:t>
      </w:r>
    </w:p>
    <w:p w:rsidR="00F13398" w:rsidRDefault="00F13398" w:rsidP="001B3BFE"/>
    <w:p w:rsidR="001B3BFE" w:rsidRDefault="001B3BFE" w:rsidP="00F13398">
      <w:pPr>
        <w:ind w:left="1304"/>
      </w:pPr>
      <w:r w:rsidRPr="00F13398">
        <w:rPr>
          <w:lang w:val="sv-SE"/>
        </w:rPr>
        <w:t xml:space="preserve">Gamfeldt, L., Snäll, T., Bagchi, R., Jonsson, M., Gustafsson, L., Kjellander, P., et al. </w:t>
      </w:r>
      <w:r>
        <w:t xml:space="preserve">(2013). Higher levels of multiple ecosystem services are found in forests with more tree species. Nature Communications, 4. </w:t>
      </w:r>
    </w:p>
    <w:p w:rsidR="00F13398" w:rsidRDefault="00F13398" w:rsidP="001B3BFE"/>
    <w:p w:rsidR="001B3BFE" w:rsidRDefault="001B3BFE" w:rsidP="00F13398">
      <w:pPr>
        <w:ind w:left="1304"/>
      </w:pPr>
      <w:r w:rsidRPr="00F13398">
        <w:rPr>
          <w:lang w:val="sv-SE"/>
        </w:rPr>
        <w:t xml:space="preserve">Nilsson, C., Polvi, L. E., Gardeström, J., Hasselquist, E. M., Lind, L., &amp; Sarneel, J. M. (2015). </w:t>
      </w:r>
      <w:r>
        <w:t>Riparian and in-stream restoration of boreal streams and rivers: success or failure? Ecohydrology, 8, 753–764. https://doi.org/10.1002/eco.1480</w:t>
      </w:r>
    </w:p>
    <w:p w:rsidR="00F13398" w:rsidRDefault="00F13398" w:rsidP="001B3BFE"/>
    <w:p w:rsidR="001B3BFE" w:rsidRDefault="001B3BFE" w:rsidP="00F13398">
      <w:pPr>
        <w:ind w:firstLine="1304"/>
      </w:pPr>
      <w:r>
        <w:t>Gauthier et al. (2015). Boreal forest health and global change. 349: 819-822.</w:t>
      </w:r>
    </w:p>
    <w:p w:rsidR="00F13398" w:rsidRDefault="00F13398" w:rsidP="001B3BFE"/>
    <w:p w:rsidR="00941A0F" w:rsidRDefault="001B3BFE" w:rsidP="00F13398">
      <w:pPr>
        <w:ind w:left="1304"/>
      </w:pPr>
      <w:r>
        <w:t>Ceccherini et al. (2020). Abrupt increase in harvested forest area over Europe after 2015. Nature 583, pages72–77. https://doi.org/10.1038/s41586-020-2438-y</w:t>
      </w:r>
    </w:p>
    <w:sectPr w:rsidR="00941A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90" w:rsidRDefault="00B42390" w:rsidP="001B3BFE">
      <w:r>
        <w:separator/>
      </w:r>
    </w:p>
  </w:endnote>
  <w:endnote w:type="continuationSeparator" w:id="0">
    <w:p w:rsidR="00B42390" w:rsidRDefault="00B42390" w:rsidP="001B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6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398" w:rsidRDefault="00F13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398" w:rsidRDefault="00F1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90" w:rsidRDefault="00B42390" w:rsidP="001B3BFE">
      <w:r>
        <w:separator/>
      </w:r>
    </w:p>
  </w:footnote>
  <w:footnote w:type="continuationSeparator" w:id="0">
    <w:p w:rsidR="00B42390" w:rsidRDefault="00B42390" w:rsidP="001B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FE" w:rsidRDefault="001B3BFE">
    <w:pPr>
      <w:pStyle w:val="Header"/>
    </w:pPr>
    <w:r w:rsidRPr="001B3BFE">
      <w:t>Literature list_Forest Ecosystem Ecology</w:t>
    </w:r>
    <w:r w:rsidR="00CC4C1A">
      <w:t xml:space="preserve"> (BI1369)</w:t>
    </w:r>
    <w:r w:rsidRPr="001B3BFE">
      <w:t xml:space="preserve"> 2</w:t>
    </w:r>
    <w:r>
      <w:t>021-2022</w:t>
    </w:r>
  </w:p>
  <w:p w:rsidR="001B3BFE" w:rsidRPr="001B3BFE" w:rsidRDefault="001B3BFE" w:rsidP="001B3BFE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E"/>
    <w:rsid w:val="0015517A"/>
    <w:rsid w:val="001B3BFE"/>
    <w:rsid w:val="00206B64"/>
    <w:rsid w:val="00300C94"/>
    <w:rsid w:val="00941A0F"/>
    <w:rsid w:val="00B42390"/>
    <w:rsid w:val="00CC4C1A"/>
    <w:rsid w:val="00F13398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D47F"/>
  <w15:chartTrackingRefBased/>
  <w15:docId w15:val="{E5707FA7-D9C8-4825-B3F9-2603033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9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C94"/>
    <w:pPr>
      <w:kinsoku w:val="0"/>
      <w:spacing w:before="100" w:beforeAutospacing="1" w:after="100" w:afterAutospacing="1"/>
      <w:outlineLvl w:val="0"/>
    </w:pPr>
    <w:rPr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C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C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94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94"/>
    <w:rPr>
      <w:rFonts w:ascii="Tahoma" w:hAnsi="Tahoma" w:cs="Tahoma"/>
      <w:kern w:val="2"/>
      <w:sz w:val="16"/>
      <w:szCs w:val="18"/>
      <w:lang w:val="en-US" w:eastAsia="zh-CN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300C94"/>
    <w:pPr>
      <w:widowControl w:val="0"/>
      <w:ind w:firstLineChars="200" w:firstLine="480"/>
    </w:pPr>
    <w:rPr>
      <w:rFonts w:ascii="Tahoma" w:hAnsi="Tahoma" w:cs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C94"/>
    <w:rPr>
      <w:rFonts w:ascii="Tahoma" w:hAnsi="Tahoma" w:cs="Tahoma"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00C94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0C94"/>
    <w:rPr>
      <w:rFonts w:cs="Times New Roman"/>
      <w:noProof/>
      <w:kern w:val="2"/>
      <w:sz w:val="21"/>
      <w:szCs w:val="21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300C94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0C94"/>
    <w:rPr>
      <w:rFonts w:cs="Times New Roman"/>
      <w:noProof/>
      <w:kern w:val="2"/>
      <w:sz w:val="21"/>
      <w:szCs w:val="21"/>
      <w:lang w:val="en-US" w:eastAsia="zh-CN"/>
    </w:rPr>
  </w:style>
  <w:style w:type="paragraph" w:customStyle="1" w:styleId="EndNoteCategoryHeading">
    <w:name w:val="EndNote Category Heading"/>
    <w:basedOn w:val="Normal"/>
    <w:link w:val="EndNoteCategoryHeading0"/>
    <w:rsid w:val="00300C94"/>
    <w:pPr>
      <w:spacing w:before="120" w:after="120"/>
    </w:pPr>
    <w:rPr>
      <w:b/>
      <w:noProof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300C94"/>
    <w:rPr>
      <w:b/>
      <w:noProof/>
      <w:kern w:val="2"/>
      <w:sz w:val="21"/>
      <w:szCs w:val="21"/>
      <w:lang w:val="en-US" w:eastAsia="zh-CN"/>
    </w:rPr>
  </w:style>
  <w:style w:type="paragraph" w:customStyle="1" w:styleId="1">
    <w:name w:val="脚注文本1"/>
    <w:basedOn w:val="Normal"/>
    <w:next w:val="FootnoteText"/>
    <w:unhideWhenUsed/>
    <w:rsid w:val="00300C94"/>
    <w:pPr>
      <w:snapToGrid w:val="0"/>
    </w:pPr>
    <w:rPr>
      <w:rFonts w:ascii="Calibri" w:eastAsia="SimSun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94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94"/>
    <w:rPr>
      <w:kern w:val="2"/>
      <w:sz w:val="18"/>
      <w:szCs w:val="18"/>
      <w:lang w:val="en-US" w:eastAsia="zh-CN"/>
    </w:rPr>
  </w:style>
  <w:style w:type="paragraph" w:customStyle="1" w:styleId="BBAuthorName">
    <w:name w:val="BB_Author_Name"/>
    <w:basedOn w:val="Normal"/>
    <w:next w:val="BCAuthorAddress"/>
    <w:rsid w:val="00300C94"/>
    <w:pPr>
      <w:spacing w:after="240"/>
      <w:jc w:val="center"/>
    </w:pPr>
    <w:rPr>
      <w:rFonts w:ascii="Times" w:eastAsia="SimSun" w:hAnsi="Times" w:cs="Times New Roman"/>
      <w:i/>
      <w:szCs w:val="20"/>
    </w:rPr>
  </w:style>
  <w:style w:type="paragraph" w:customStyle="1" w:styleId="BCAuthorAddress">
    <w:name w:val="BC_Author_Address"/>
    <w:basedOn w:val="Normal"/>
    <w:next w:val="Normal"/>
    <w:rsid w:val="00300C94"/>
    <w:pPr>
      <w:spacing w:after="240"/>
      <w:jc w:val="center"/>
    </w:pPr>
    <w:rPr>
      <w:rFonts w:ascii="Times" w:eastAsia="SimSun" w:hAnsi="Times" w:cs="Times New Roman"/>
      <w:szCs w:val="20"/>
    </w:rPr>
  </w:style>
  <w:style w:type="paragraph" w:customStyle="1" w:styleId="BIEmailAddress">
    <w:name w:val="BI_Email_Address"/>
    <w:basedOn w:val="Normal"/>
    <w:next w:val="Normal"/>
    <w:rsid w:val="00300C94"/>
    <w:pPr>
      <w:spacing w:after="200"/>
    </w:pPr>
    <w:rPr>
      <w:rFonts w:ascii="Times" w:eastAsia="SimSun" w:hAnsi="Times" w:cs="Times New Roman"/>
      <w:szCs w:val="20"/>
    </w:rPr>
  </w:style>
  <w:style w:type="paragraph" w:customStyle="1" w:styleId="References">
    <w:name w:val="References"/>
    <w:basedOn w:val="EndNoteBibliography"/>
    <w:link w:val="References0"/>
    <w:qFormat/>
    <w:rsid w:val="00300C94"/>
    <w:pPr>
      <w:ind w:left="480" w:hangingChars="200" w:hanging="480"/>
    </w:pPr>
  </w:style>
  <w:style w:type="character" w:customStyle="1" w:styleId="References0">
    <w:name w:val="References 字符"/>
    <w:basedOn w:val="EndNoteBibliographyChar"/>
    <w:link w:val="References"/>
    <w:rsid w:val="00300C94"/>
    <w:rPr>
      <w:rFonts w:cs="Times New Roman"/>
      <w:noProof/>
      <w:kern w:val="2"/>
      <w:sz w:val="21"/>
      <w:szCs w:val="21"/>
      <w:lang w:val="en-US" w:eastAsia="zh-CN"/>
    </w:rPr>
  </w:style>
  <w:style w:type="character" w:customStyle="1" w:styleId="EndNoteBibliography0">
    <w:name w:val="EndNote Bibliography 字符"/>
    <w:basedOn w:val="DefaultParagraphFont"/>
    <w:rsid w:val="00300C94"/>
    <w:rPr>
      <w:rFonts w:ascii="Times New Roman" w:eastAsia="SimSun" w:hAnsi="Times New Roman" w:cs="Times New Roman"/>
      <w:noProof/>
      <w:sz w:val="20"/>
    </w:rPr>
  </w:style>
  <w:style w:type="paragraph" w:customStyle="1" w:styleId="Introduction">
    <w:name w:val="Introduction"/>
    <w:basedOn w:val="Normal"/>
    <w:link w:val="Introduction0"/>
    <w:rsid w:val="00300C94"/>
    <w:pPr>
      <w:spacing w:afterLines="100"/>
    </w:pPr>
    <w:rPr>
      <w:rFonts w:eastAsia="SimSun"/>
      <w:b/>
      <w:sz w:val="28"/>
    </w:rPr>
  </w:style>
  <w:style w:type="character" w:customStyle="1" w:styleId="Introduction0">
    <w:name w:val="Introduction 字符"/>
    <w:basedOn w:val="DefaultParagraphFont"/>
    <w:link w:val="Introduction"/>
    <w:rsid w:val="00300C94"/>
    <w:rPr>
      <w:rFonts w:eastAsia="SimSun"/>
      <w:b/>
      <w:kern w:val="2"/>
      <w:sz w:val="28"/>
      <w:szCs w:val="21"/>
      <w:lang w:val="en-US" w:eastAsia="zh-CN"/>
    </w:rPr>
  </w:style>
  <w:style w:type="paragraph" w:customStyle="1" w:styleId="10">
    <w:name w:val="1标题"/>
    <w:basedOn w:val="Introduction"/>
    <w:link w:val="11"/>
    <w:qFormat/>
    <w:rsid w:val="00300C94"/>
    <w:pPr>
      <w:spacing w:beforeLines="100" w:afterLines="0"/>
    </w:pPr>
    <w:rPr>
      <w:b w:val="0"/>
      <w:caps/>
    </w:rPr>
  </w:style>
  <w:style w:type="character" w:customStyle="1" w:styleId="11">
    <w:name w:val="1标题 字符"/>
    <w:basedOn w:val="Introduction0"/>
    <w:link w:val="10"/>
    <w:rsid w:val="00300C94"/>
    <w:rPr>
      <w:rFonts w:eastAsia="SimSun"/>
      <w:b w:val="0"/>
      <w:caps/>
      <w:kern w:val="2"/>
      <w:sz w:val="28"/>
      <w:szCs w:val="21"/>
      <w:lang w:val="en-US" w:eastAsia="zh-CN"/>
    </w:rPr>
  </w:style>
  <w:style w:type="paragraph" w:customStyle="1" w:styleId="2">
    <w:name w:val="2标题"/>
    <w:basedOn w:val="Normal"/>
    <w:link w:val="20"/>
    <w:qFormat/>
    <w:rsid w:val="00300C94"/>
    <w:rPr>
      <w:b/>
    </w:rPr>
  </w:style>
  <w:style w:type="character" w:customStyle="1" w:styleId="20">
    <w:name w:val="2标题 字符"/>
    <w:basedOn w:val="DefaultParagraphFont"/>
    <w:link w:val="2"/>
    <w:rsid w:val="00300C94"/>
    <w:rPr>
      <w:b/>
      <w:kern w:val="2"/>
      <w:sz w:val="21"/>
      <w:szCs w:val="21"/>
      <w:lang w:val="en-US" w:eastAsia="zh-CN"/>
    </w:rPr>
  </w:style>
  <w:style w:type="paragraph" w:customStyle="1" w:styleId="2-">
    <w:name w:val="2-标题"/>
    <w:basedOn w:val="10"/>
    <w:link w:val="2-0"/>
    <w:qFormat/>
    <w:rsid w:val="00300C94"/>
    <w:pPr>
      <w:spacing w:before="326"/>
    </w:pPr>
    <w:rPr>
      <w:b/>
      <w:caps w:val="0"/>
    </w:rPr>
  </w:style>
  <w:style w:type="character" w:customStyle="1" w:styleId="2-0">
    <w:name w:val="2-标题 字符"/>
    <w:basedOn w:val="11"/>
    <w:link w:val="2-"/>
    <w:rsid w:val="00300C94"/>
    <w:rPr>
      <w:rFonts w:eastAsia="SimSun"/>
      <w:b/>
      <w:caps w:val="0"/>
      <w:kern w:val="2"/>
      <w:sz w:val="28"/>
      <w:szCs w:val="21"/>
      <w:lang w:val="en-US" w:eastAsia="zh-CN"/>
    </w:rPr>
  </w:style>
  <w:style w:type="character" w:customStyle="1" w:styleId="12">
    <w:name w:val="未处理的提及1"/>
    <w:basedOn w:val="DefaultParagraphFont"/>
    <w:uiPriority w:val="99"/>
    <w:semiHidden/>
    <w:unhideWhenUsed/>
    <w:rsid w:val="00300C94"/>
    <w:rPr>
      <w:color w:val="605E5C"/>
      <w:shd w:val="clear" w:color="auto" w:fill="E1DFDD"/>
    </w:rPr>
  </w:style>
  <w:style w:type="paragraph" w:customStyle="1" w:styleId="Default">
    <w:name w:val="Default"/>
    <w:rsid w:val="00300C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0C94"/>
    <w:rPr>
      <w:b/>
      <w:bCs/>
      <w:kern w:val="44"/>
      <w:sz w:val="21"/>
      <w:szCs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0C94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C94"/>
    <w:rPr>
      <w:rFonts w:asciiTheme="majorHAnsi" w:eastAsiaTheme="majorEastAsia" w:hAnsiTheme="majorHAnsi" w:cstheme="majorBidi"/>
      <w:b/>
      <w:bCs/>
      <w:kern w:val="2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0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0C94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00C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0C94"/>
    <w:rPr>
      <w:kern w:val="2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0C94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00C94"/>
  </w:style>
  <w:style w:type="character" w:styleId="Hyperlink">
    <w:name w:val="Hyperlink"/>
    <w:basedOn w:val="DefaultParagraphFont"/>
    <w:uiPriority w:val="99"/>
    <w:unhideWhenUsed/>
    <w:rsid w:val="00300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C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0C94"/>
    <w:pPr>
      <w:spacing w:before="100" w:beforeAutospacing="1" w:after="100" w:afterAutospacing="1"/>
    </w:pPr>
    <w:rPr>
      <w:rFonts w:ascii="SimSun" w:eastAsia="SimSun" w:hAnsi="SimSun" w:cs="SimSu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C94"/>
    <w:rPr>
      <w:rFonts w:ascii="Tahoma" w:hAnsi="Tahoma" w:cs="Tahoma"/>
      <w:b/>
      <w:bCs/>
      <w:sz w:val="20"/>
    </w:rPr>
  </w:style>
  <w:style w:type="table" w:styleId="TableGrid">
    <w:name w:val="Table Grid"/>
    <w:basedOn w:val="TableNormal"/>
    <w:uiPriority w:val="39"/>
    <w:rsid w:val="00300C94"/>
    <w:rPr>
      <w:kern w:val="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C94"/>
    <w:rPr>
      <w:color w:val="808080"/>
    </w:rPr>
  </w:style>
  <w:style w:type="paragraph" w:styleId="NoSpacing">
    <w:name w:val="No Spacing"/>
    <w:uiPriority w:val="1"/>
    <w:qFormat/>
    <w:rsid w:val="00300C94"/>
    <w:pPr>
      <w:widowControl w:val="0"/>
      <w:ind w:firstLineChars="200" w:firstLine="200"/>
      <w:jc w:val="both"/>
    </w:pPr>
    <w:rPr>
      <w:rFonts w:ascii="Times New Roman" w:hAnsi="Times New Roman"/>
      <w:kern w:val="2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0C9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1/2021.06.06.4472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Kardol</dc:creator>
  <cp:keywords/>
  <dc:description/>
  <cp:lastModifiedBy>Paul Kardol</cp:lastModifiedBy>
  <cp:revision>4</cp:revision>
  <dcterms:created xsi:type="dcterms:W3CDTF">2021-09-08T07:32:00Z</dcterms:created>
  <dcterms:modified xsi:type="dcterms:W3CDTF">2021-09-08T10:21:00Z</dcterms:modified>
</cp:coreProperties>
</file>