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31" w:rsidRPr="00541131" w:rsidRDefault="00541131" w:rsidP="00541131">
      <w:pPr>
        <w:pStyle w:val="Default"/>
        <w:rPr>
          <w:rFonts w:ascii="Arial" w:hAnsi="Arial" w:cs="Arial"/>
        </w:rPr>
      </w:pPr>
    </w:p>
    <w:p w:rsidR="00541131" w:rsidRPr="00AB72E1" w:rsidRDefault="00541131" w:rsidP="008607A3">
      <w:pPr>
        <w:pStyle w:val="Title"/>
        <w:rPr>
          <w:sz w:val="44"/>
          <w:lang w:val="en-US"/>
        </w:rPr>
      </w:pPr>
      <w:r w:rsidRPr="00AB72E1">
        <w:rPr>
          <w:sz w:val="44"/>
          <w:lang w:val="en-US"/>
        </w:rPr>
        <w:t xml:space="preserve">Project Management &amp; Process Facilitation LB0111 </w:t>
      </w:r>
    </w:p>
    <w:p w:rsidR="00541131" w:rsidRPr="00E576F9" w:rsidRDefault="00541131" w:rsidP="008607A3">
      <w:pPr>
        <w:pStyle w:val="Default"/>
        <w:contextualSpacing/>
        <w:rPr>
          <w:rFonts w:asciiTheme="majorHAnsi" w:hAnsiTheme="majorHAnsi" w:cstheme="majorHAnsi"/>
          <w:sz w:val="22"/>
          <w:szCs w:val="22"/>
          <w:lang w:val="en-US"/>
        </w:rPr>
      </w:pPr>
      <w:r w:rsidRPr="00E576F9">
        <w:rPr>
          <w:rFonts w:asciiTheme="majorHAnsi" w:hAnsiTheme="majorHAnsi" w:cstheme="majorHAnsi"/>
          <w:sz w:val="22"/>
          <w:szCs w:val="22"/>
          <w:lang w:val="en-US"/>
        </w:rPr>
        <w:t>Spring Term 2021</w:t>
      </w:r>
    </w:p>
    <w:p w:rsidR="00541131" w:rsidRPr="00E576F9" w:rsidRDefault="00541131" w:rsidP="008607A3">
      <w:pPr>
        <w:pStyle w:val="Default"/>
        <w:contextualSpacing/>
        <w:rPr>
          <w:rFonts w:asciiTheme="majorHAnsi" w:hAnsiTheme="majorHAnsi" w:cstheme="majorHAnsi"/>
          <w:sz w:val="22"/>
          <w:szCs w:val="22"/>
          <w:lang w:val="en-US"/>
        </w:rPr>
      </w:pPr>
    </w:p>
    <w:p w:rsidR="00541131" w:rsidRPr="00E576F9" w:rsidRDefault="00541131" w:rsidP="008607A3">
      <w:pPr>
        <w:pStyle w:val="Default"/>
        <w:contextualSpacing/>
        <w:rPr>
          <w:rFonts w:asciiTheme="majorHAnsi" w:hAnsiTheme="majorHAnsi" w:cstheme="majorHAnsi"/>
          <w:sz w:val="22"/>
          <w:szCs w:val="22"/>
          <w:lang w:val="en-US"/>
        </w:rPr>
      </w:pPr>
      <w:r w:rsidRPr="00E576F9">
        <w:rPr>
          <w:rFonts w:asciiTheme="majorHAnsi" w:hAnsiTheme="majorHAnsi" w:cstheme="majorHAnsi"/>
          <w:b/>
          <w:bCs/>
          <w:sz w:val="22"/>
          <w:szCs w:val="22"/>
          <w:lang w:val="en-US"/>
        </w:rPr>
        <w:t xml:space="preserve">Literature </w:t>
      </w:r>
    </w:p>
    <w:p w:rsidR="00541131" w:rsidRDefault="001D6269" w:rsidP="008607A3">
      <w:pPr>
        <w:pStyle w:val="Default"/>
        <w:contextualSpacing/>
        <w:rPr>
          <w:rFonts w:asciiTheme="majorHAnsi" w:hAnsiTheme="majorHAnsi" w:cstheme="majorHAnsi"/>
          <w:sz w:val="22"/>
          <w:szCs w:val="22"/>
          <w:lang w:val="en-US"/>
        </w:rPr>
      </w:pPr>
      <w:r>
        <w:rPr>
          <w:rFonts w:asciiTheme="majorHAnsi" w:hAnsiTheme="majorHAnsi" w:cstheme="majorHAnsi"/>
          <w:sz w:val="22"/>
          <w:szCs w:val="22"/>
          <w:lang w:val="en-US"/>
        </w:rPr>
        <w:t>* = C</w:t>
      </w:r>
      <w:r w:rsidR="00541131" w:rsidRPr="00E576F9">
        <w:rPr>
          <w:rFonts w:asciiTheme="majorHAnsi" w:hAnsiTheme="majorHAnsi" w:cstheme="majorHAnsi"/>
          <w:sz w:val="22"/>
          <w:szCs w:val="22"/>
          <w:lang w:val="en-US"/>
        </w:rPr>
        <w:t xml:space="preserve">ompulsory </w:t>
      </w:r>
    </w:p>
    <w:p w:rsidR="001D6269" w:rsidRDefault="001D6269" w:rsidP="008607A3">
      <w:pPr>
        <w:pStyle w:val="Default"/>
        <w:contextualSpacing/>
        <w:rPr>
          <w:rFonts w:asciiTheme="majorHAnsi" w:hAnsiTheme="majorHAnsi" w:cstheme="majorHAnsi"/>
          <w:sz w:val="22"/>
          <w:szCs w:val="22"/>
          <w:lang w:val="en-US"/>
        </w:rPr>
      </w:pPr>
    </w:p>
    <w:p w:rsidR="00AB72E1" w:rsidRDefault="001D6269" w:rsidP="008607A3">
      <w:pPr>
        <w:pStyle w:val="Default"/>
        <w:contextualSpacing/>
        <w:rPr>
          <w:rFonts w:asciiTheme="majorHAnsi" w:hAnsiTheme="majorHAnsi" w:cstheme="majorHAnsi"/>
          <w:sz w:val="22"/>
          <w:szCs w:val="22"/>
          <w:lang w:val="en-US"/>
        </w:rPr>
      </w:pPr>
      <w:r>
        <w:rPr>
          <w:rFonts w:asciiTheme="majorHAnsi" w:hAnsiTheme="majorHAnsi" w:cstheme="majorHAnsi"/>
          <w:sz w:val="22"/>
          <w:szCs w:val="22"/>
          <w:lang w:val="en-US"/>
        </w:rPr>
        <w:t xml:space="preserve">If you are taking this course </w:t>
      </w:r>
      <w:r w:rsidRPr="00AB72E1">
        <w:rPr>
          <w:rFonts w:asciiTheme="majorHAnsi" w:hAnsiTheme="majorHAnsi" w:cstheme="majorHAnsi"/>
          <w:sz w:val="22"/>
          <w:szCs w:val="22"/>
          <w:u w:val="single"/>
          <w:lang w:val="en-US"/>
        </w:rPr>
        <w:t xml:space="preserve">without </w:t>
      </w:r>
      <w:r>
        <w:rPr>
          <w:rFonts w:asciiTheme="majorHAnsi" w:hAnsiTheme="majorHAnsi" w:cstheme="majorHAnsi"/>
          <w:sz w:val="22"/>
          <w:szCs w:val="22"/>
          <w:lang w:val="en-US"/>
        </w:rPr>
        <w:t xml:space="preserve">having participated in the </w:t>
      </w:r>
      <w:r w:rsidR="00AB72E1">
        <w:rPr>
          <w:rFonts w:asciiTheme="majorHAnsi" w:hAnsiTheme="majorHAnsi" w:cstheme="majorHAnsi"/>
          <w:sz w:val="22"/>
          <w:szCs w:val="22"/>
          <w:lang w:val="en-US"/>
        </w:rPr>
        <w:t xml:space="preserve">Agroecology Basics course, </w:t>
      </w:r>
      <w:r w:rsidR="00AB72E1" w:rsidRPr="0074376C">
        <w:rPr>
          <w:rFonts w:asciiTheme="majorHAnsi" w:hAnsiTheme="majorHAnsi" w:cstheme="majorHAnsi"/>
          <w:sz w:val="22"/>
          <w:szCs w:val="22"/>
          <w:u w:val="single"/>
          <w:lang w:val="en-US"/>
        </w:rPr>
        <w:t>please see the additional compulso</w:t>
      </w:r>
      <w:r w:rsidR="0074376C" w:rsidRPr="0074376C">
        <w:rPr>
          <w:rFonts w:asciiTheme="majorHAnsi" w:hAnsiTheme="majorHAnsi" w:cstheme="majorHAnsi"/>
          <w:sz w:val="22"/>
          <w:szCs w:val="22"/>
          <w:u w:val="single"/>
          <w:lang w:val="en-US"/>
        </w:rPr>
        <w:t>ry reading list on page 5</w:t>
      </w:r>
      <w:r w:rsidR="00AB72E1">
        <w:rPr>
          <w:rFonts w:asciiTheme="majorHAnsi" w:hAnsiTheme="majorHAnsi" w:cstheme="majorHAnsi"/>
          <w:sz w:val="22"/>
          <w:szCs w:val="22"/>
          <w:lang w:val="en-US"/>
        </w:rPr>
        <w:t xml:space="preserve">. </w:t>
      </w:r>
      <w:r w:rsidR="00AB72E1">
        <w:rPr>
          <w:rFonts w:asciiTheme="majorHAnsi" w:hAnsiTheme="majorHAnsi" w:cstheme="majorHAnsi"/>
          <w:b/>
          <w:sz w:val="22"/>
          <w:szCs w:val="22"/>
          <w:lang w:val="en-US"/>
        </w:rPr>
        <w:t>Note</w:t>
      </w:r>
      <w:r w:rsidR="00AB72E1">
        <w:rPr>
          <w:rFonts w:asciiTheme="majorHAnsi" w:hAnsiTheme="majorHAnsi" w:cstheme="majorHAnsi"/>
          <w:sz w:val="22"/>
          <w:szCs w:val="22"/>
          <w:lang w:val="en-US"/>
        </w:rPr>
        <w:t xml:space="preserve"> that this literature may be use</w:t>
      </w:r>
      <w:r w:rsidR="008607A3">
        <w:rPr>
          <w:rFonts w:asciiTheme="majorHAnsi" w:hAnsiTheme="majorHAnsi" w:cstheme="majorHAnsi"/>
          <w:sz w:val="22"/>
          <w:szCs w:val="22"/>
          <w:lang w:val="en-US"/>
        </w:rPr>
        <w:t>ful for</w:t>
      </w:r>
      <w:r w:rsidR="00AB72E1">
        <w:rPr>
          <w:rFonts w:asciiTheme="majorHAnsi" w:hAnsiTheme="majorHAnsi" w:cstheme="majorHAnsi"/>
          <w:sz w:val="22"/>
          <w:szCs w:val="22"/>
          <w:lang w:val="en-US"/>
        </w:rPr>
        <w:t xml:space="preserve"> anyone taking the course as well.</w:t>
      </w:r>
      <w:r w:rsidR="008607A3">
        <w:rPr>
          <w:rFonts w:asciiTheme="majorHAnsi" w:hAnsiTheme="majorHAnsi" w:cstheme="majorHAnsi"/>
          <w:sz w:val="22"/>
          <w:szCs w:val="22"/>
          <w:lang w:val="en-US"/>
        </w:rPr>
        <w:t xml:space="preserve"> Some of the references have links in </w:t>
      </w:r>
      <w:r w:rsidR="00AB1C1B">
        <w:rPr>
          <w:rFonts w:asciiTheme="majorHAnsi" w:hAnsiTheme="majorHAnsi" w:cstheme="majorHAnsi"/>
          <w:sz w:val="22"/>
          <w:szCs w:val="22"/>
          <w:lang w:val="en-US"/>
        </w:rPr>
        <w:t>them;</w:t>
      </w:r>
      <w:r w:rsidR="008607A3">
        <w:rPr>
          <w:rFonts w:asciiTheme="majorHAnsi" w:hAnsiTheme="majorHAnsi" w:cstheme="majorHAnsi"/>
          <w:sz w:val="22"/>
          <w:szCs w:val="22"/>
          <w:lang w:val="en-US"/>
        </w:rPr>
        <w:t xml:space="preserve"> some will be available on Canvas</w:t>
      </w:r>
      <w:r w:rsidR="00AB1C1B">
        <w:rPr>
          <w:rFonts w:asciiTheme="majorHAnsi" w:hAnsiTheme="majorHAnsi" w:cstheme="majorHAnsi"/>
          <w:sz w:val="22"/>
          <w:szCs w:val="22"/>
          <w:lang w:val="en-US"/>
        </w:rPr>
        <w:t>,</w:t>
      </w:r>
      <w:r w:rsidR="008607A3">
        <w:rPr>
          <w:rFonts w:asciiTheme="majorHAnsi" w:hAnsiTheme="majorHAnsi" w:cstheme="majorHAnsi"/>
          <w:sz w:val="22"/>
          <w:szCs w:val="22"/>
          <w:lang w:val="en-US"/>
        </w:rPr>
        <w:t xml:space="preserve"> </w:t>
      </w:r>
      <w:r w:rsidR="00AB1C1B">
        <w:rPr>
          <w:rFonts w:asciiTheme="majorHAnsi" w:hAnsiTheme="majorHAnsi" w:cstheme="majorHAnsi"/>
          <w:sz w:val="22"/>
          <w:szCs w:val="22"/>
          <w:lang w:val="en-US"/>
        </w:rPr>
        <w:t>while</w:t>
      </w:r>
      <w:r w:rsidR="008607A3">
        <w:rPr>
          <w:rFonts w:asciiTheme="majorHAnsi" w:hAnsiTheme="majorHAnsi" w:cstheme="majorHAnsi"/>
          <w:sz w:val="22"/>
          <w:szCs w:val="22"/>
          <w:lang w:val="en-US"/>
        </w:rPr>
        <w:t xml:space="preserve"> </w:t>
      </w:r>
      <w:r w:rsidR="00AB1C1B">
        <w:rPr>
          <w:rFonts w:asciiTheme="majorHAnsi" w:hAnsiTheme="majorHAnsi" w:cstheme="majorHAnsi"/>
          <w:sz w:val="22"/>
          <w:szCs w:val="22"/>
          <w:lang w:val="en-US"/>
        </w:rPr>
        <w:t>the rest</w:t>
      </w:r>
      <w:r w:rsidR="008607A3">
        <w:rPr>
          <w:rFonts w:asciiTheme="majorHAnsi" w:hAnsiTheme="majorHAnsi" w:cstheme="majorHAnsi"/>
          <w:sz w:val="22"/>
          <w:szCs w:val="22"/>
          <w:lang w:val="en-US"/>
        </w:rPr>
        <w:t xml:space="preserve"> are openly available on various search platforms.</w:t>
      </w:r>
      <w:r w:rsidR="00AB1C1B">
        <w:rPr>
          <w:rFonts w:asciiTheme="majorHAnsi" w:hAnsiTheme="majorHAnsi" w:cstheme="majorHAnsi"/>
          <w:sz w:val="22"/>
          <w:szCs w:val="22"/>
          <w:lang w:val="en-US"/>
        </w:rPr>
        <w:t xml:space="preserve"> </w:t>
      </w:r>
      <w:r w:rsidR="00214762">
        <w:rPr>
          <w:rFonts w:asciiTheme="majorHAnsi" w:hAnsiTheme="majorHAnsi" w:cstheme="majorHAnsi"/>
          <w:sz w:val="22"/>
          <w:szCs w:val="22"/>
          <w:lang w:val="en-US"/>
        </w:rPr>
        <w:t>Updated 2021-01-25 to correct errors.</w:t>
      </w:r>
    </w:p>
    <w:p w:rsidR="00AB72E1" w:rsidRPr="00E576F9" w:rsidRDefault="00AB72E1" w:rsidP="008607A3">
      <w:pPr>
        <w:pStyle w:val="Default"/>
        <w:contextualSpacing/>
        <w:rPr>
          <w:rFonts w:asciiTheme="majorHAnsi" w:hAnsiTheme="majorHAnsi" w:cstheme="majorHAnsi"/>
          <w:sz w:val="22"/>
          <w:szCs w:val="22"/>
          <w:lang w:val="en-US"/>
        </w:rPr>
      </w:pPr>
    </w:p>
    <w:p w:rsidR="008607A3" w:rsidRDefault="001D6269" w:rsidP="008607A3">
      <w:pPr>
        <w:pStyle w:val="Heading1"/>
        <w:ind w:firstLine="720"/>
        <w:contextualSpacing/>
        <w:rPr>
          <w:lang w:val="en-US"/>
        </w:rPr>
      </w:pPr>
      <w:r>
        <w:rPr>
          <w:lang w:val="en-US"/>
        </w:rPr>
        <w:t xml:space="preserve">Knowledge Systems and Project Management </w:t>
      </w:r>
    </w:p>
    <w:p w:rsidR="00541131" w:rsidRPr="00B50307" w:rsidRDefault="001D6269" w:rsidP="008607A3">
      <w:pPr>
        <w:pStyle w:val="Heading1"/>
        <w:ind w:firstLine="720"/>
        <w:contextualSpacing/>
        <w:rPr>
          <w:lang w:val="en-US"/>
        </w:rPr>
      </w:pPr>
      <w:r>
        <w:rPr>
          <w:lang w:val="en-US"/>
        </w:rPr>
        <w:t xml:space="preserve">/ </w:t>
      </w:r>
      <w:r w:rsidR="00541131" w:rsidRPr="00B50307">
        <w:rPr>
          <w:lang w:val="en-US"/>
        </w:rPr>
        <w:t xml:space="preserve">Anna Hofny Collins’s lectures </w:t>
      </w:r>
    </w:p>
    <w:p w:rsidR="00DD2ABF" w:rsidRPr="008607A3" w:rsidRDefault="00DD2ABF" w:rsidP="008607A3">
      <w:pPr>
        <w:pStyle w:val="ListParagraph"/>
        <w:numPr>
          <w:ilvl w:val="0"/>
          <w:numId w:val="7"/>
        </w:numPr>
        <w:rPr>
          <w:lang w:val="en-US"/>
        </w:rPr>
      </w:pPr>
      <w:r w:rsidRPr="008607A3">
        <w:rPr>
          <w:position w:val="8"/>
          <w:lang w:val="en-US"/>
        </w:rPr>
        <w:t>* Project Management for Development Professionals (</w:t>
      </w:r>
      <w:r w:rsidR="00AB72E1" w:rsidRPr="008607A3">
        <w:rPr>
          <w:position w:val="8"/>
          <w:lang w:val="en-US"/>
        </w:rPr>
        <w:t xml:space="preserve">PMD) - A Guide to the PMD Pro1 </w:t>
      </w:r>
      <w:r w:rsidRPr="008607A3">
        <w:rPr>
          <w:position w:val="8"/>
          <w:lang w:val="en-US"/>
        </w:rPr>
        <w:t>(2010)</w:t>
      </w:r>
    </w:p>
    <w:p w:rsidR="00DD2ABF" w:rsidRPr="00AB72E1" w:rsidRDefault="00DD2ABF" w:rsidP="008607A3">
      <w:pPr>
        <w:spacing w:after="0" w:line="240" w:lineRule="auto"/>
        <w:ind w:left="720"/>
        <w:contextualSpacing/>
        <w:rPr>
          <w:rFonts w:asciiTheme="majorHAnsi" w:hAnsiTheme="majorHAnsi" w:cstheme="majorHAnsi"/>
          <w:i/>
          <w:sz w:val="20"/>
          <w:szCs w:val="20"/>
          <w:lang w:val="en-US"/>
        </w:rPr>
      </w:pPr>
      <w:r w:rsidRPr="00AB72E1">
        <w:rPr>
          <w:rFonts w:asciiTheme="majorHAnsi" w:hAnsiTheme="majorHAnsi" w:cstheme="majorHAnsi"/>
          <w:i/>
          <w:position w:val="6"/>
          <w:sz w:val="20"/>
          <w:szCs w:val="20"/>
          <w:lang w:val="en-US"/>
        </w:rPr>
        <w:t xml:space="preserve">This is a guide to </w:t>
      </w:r>
      <w:r w:rsidRPr="00AB72E1">
        <w:rPr>
          <w:rFonts w:asciiTheme="majorHAnsi" w:hAnsiTheme="majorHAnsi" w:cstheme="majorHAnsi"/>
          <w:b/>
          <w:bCs/>
          <w:i/>
          <w:position w:val="6"/>
          <w:sz w:val="20"/>
          <w:szCs w:val="20"/>
          <w:lang w:val="en-US"/>
        </w:rPr>
        <w:t>Project Management</w:t>
      </w:r>
      <w:r w:rsidRPr="00AB72E1">
        <w:rPr>
          <w:rFonts w:asciiTheme="majorHAnsi" w:hAnsiTheme="majorHAnsi" w:cstheme="majorHAnsi"/>
          <w:i/>
          <w:position w:val="6"/>
          <w:sz w:val="20"/>
          <w:szCs w:val="20"/>
          <w:lang w:val="en-US"/>
        </w:rPr>
        <w:t xml:space="preserve"> aimed at Development Professionals. It was developed by experts from several non-governmental organizations (NGOs) and is designed to meet the needs of NGO project managers, program quality managers or supporting staff responsible for the creation and implementation of a development project. </w:t>
      </w:r>
    </w:p>
    <w:p w:rsidR="00AB72E1" w:rsidRPr="00AB72E1" w:rsidRDefault="00AB72E1" w:rsidP="008607A3">
      <w:pPr>
        <w:spacing w:after="0" w:line="240" w:lineRule="auto"/>
        <w:ind w:left="720"/>
        <w:contextualSpacing/>
        <w:rPr>
          <w:rFonts w:asciiTheme="majorHAnsi" w:hAnsiTheme="majorHAnsi" w:cstheme="majorHAnsi"/>
          <w:i/>
          <w:position w:val="6"/>
          <w:sz w:val="20"/>
          <w:szCs w:val="20"/>
          <w:lang w:val="en-US"/>
        </w:rPr>
      </w:pPr>
    </w:p>
    <w:p w:rsidR="00DD2ABF" w:rsidRPr="00AB72E1" w:rsidRDefault="00DD2ABF" w:rsidP="008607A3">
      <w:pPr>
        <w:spacing w:after="0" w:line="240" w:lineRule="auto"/>
        <w:ind w:left="720"/>
        <w:contextualSpacing/>
        <w:rPr>
          <w:rFonts w:asciiTheme="majorHAnsi" w:hAnsiTheme="majorHAnsi" w:cstheme="majorHAnsi"/>
          <w:i/>
          <w:sz w:val="20"/>
          <w:szCs w:val="20"/>
          <w:lang w:val="en-US"/>
        </w:rPr>
      </w:pPr>
      <w:r w:rsidRPr="00AB72E1">
        <w:rPr>
          <w:rFonts w:asciiTheme="majorHAnsi" w:hAnsiTheme="majorHAnsi" w:cstheme="majorHAnsi"/>
          <w:i/>
          <w:position w:val="6"/>
          <w:sz w:val="20"/>
          <w:szCs w:val="20"/>
          <w:lang w:val="en-US"/>
        </w:rPr>
        <w:t xml:space="preserve">It provides a comprehensive and practical guide to the different stages of a project from needs identification, planning, implementation and evaluation. </w:t>
      </w:r>
    </w:p>
    <w:p w:rsidR="00DD2ABF" w:rsidRPr="00E31BDA" w:rsidRDefault="00DD2ABF" w:rsidP="008607A3">
      <w:pPr>
        <w:spacing w:after="0" w:line="240" w:lineRule="auto"/>
        <w:contextualSpacing/>
        <w:rPr>
          <w:b/>
          <w:bCs/>
          <w:color w:val="0000CC"/>
          <w:sz w:val="24"/>
          <w:szCs w:val="24"/>
          <w:lang w:val="en-US"/>
        </w:rPr>
      </w:pPr>
      <w:bookmarkStart w:id="0" w:name="_GoBack"/>
      <w:bookmarkEnd w:id="0"/>
    </w:p>
    <w:p w:rsidR="00DD2ABF" w:rsidRPr="008607A3" w:rsidRDefault="00DD2ABF" w:rsidP="008607A3">
      <w:pPr>
        <w:pStyle w:val="ListParagraph"/>
        <w:numPr>
          <w:ilvl w:val="0"/>
          <w:numId w:val="7"/>
        </w:numPr>
        <w:rPr>
          <w:lang w:val="en-US"/>
        </w:rPr>
      </w:pPr>
      <w:r w:rsidRPr="008607A3">
        <w:rPr>
          <w:position w:val="7"/>
          <w:lang w:val="en-US"/>
        </w:rPr>
        <w:t xml:space="preserve">* Engel, A. (2011) </w:t>
      </w:r>
      <w:r w:rsidRPr="008607A3">
        <w:rPr>
          <w:i/>
          <w:iCs/>
          <w:position w:val="7"/>
          <w:lang w:val="en-US"/>
        </w:rPr>
        <w:t>Collaborative Conflict Management for Enhanced National Forest</w:t>
      </w:r>
      <w:r w:rsidRPr="008607A3">
        <w:rPr>
          <w:i/>
          <w:iCs/>
          <w:position w:val="7"/>
          <w:lang w:val="en-US"/>
        </w:rPr>
        <w:br/>
        <w:t>Programmes</w:t>
      </w:r>
      <w:r w:rsidRPr="008607A3">
        <w:rPr>
          <w:position w:val="7"/>
          <w:lang w:val="en-US"/>
        </w:rPr>
        <w:t xml:space="preserve"> (nfps). FAO, Rome.</w:t>
      </w:r>
    </w:p>
    <w:p w:rsidR="00DD2ABF" w:rsidRDefault="00DD2ABF" w:rsidP="008607A3">
      <w:pPr>
        <w:spacing w:after="0" w:line="240" w:lineRule="auto"/>
        <w:ind w:left="720"/>
        <w:contextualSpacing/>
        <w:rPr>
          <w:rFonts w:ascii="Calibri Light" w:hAnsi="Calibri Light" w:cs="Calibri Light"/>
          <w:i/>
          <w:position w:val="6"/>
          <w:sz w:val="20"/>
          <w:szCs w:val="20"/>
          <w:lang w:val="en-US"/>
        </w:rPr>
      </w:pPr>
      <w:r w:rsidRPr="00AB72E1">
        <w:rPr>
          <w:rFonts w:ascii="Calibri Light" w:hAnsi="Calibri Light" w:cs="Calibri Light"/>
          <w:i/>
          <w:position w:val="6"/>
          <w:sz w:val="20"/>
          <w:szCs w:val="20"/>
          <w:lang w:val="en-US"/>
        </w:rPr>
        <w:t xml:space="preserve">Useful guide on how to manage and resolve disputes and </w:t>
      </w:r>
      <w:r w:rsidRPr="00AB72E1">
        <w:rPr>
          <w:rFonts w:ascii="Calibri Light" w:hAnsi="Calibri Light" w:cs="Calibri Light"/>
          <w:b/>
          <w:bCs/>
          <w:i/>
          <w:position w:val="6"/>
          <w:sz w:val="20"/>
          <w:szCs w:val="20"/>
          <w:lang w:val="en-US"/>
        </w:rPr>
        <w:t>conflicts</w:t>
      </w:r>
      <w:r w:rsidRPr="00AB72E1">
        <w:rPr>
          <w:rFonts w:ascii="Calibri Light" w:hAnsi="Calibri Light" w:cs="Calibri Light"/>
          <w:i/>
          <w:position w:val="6"/>
          <w:sz w:val="20"/>
          <w:szCs w:val="20"/>
          <w:lang w:val="en-US"/>
        </w:rPr>
        <w:t xml:space="preserve"> in a participatory and consensual manner among stakeholders with multiple, divergent interests and with different power to influence decisions. </w:t>
      </w:r>
    </w:p>
    <w:p w:rsidR="00214762" w:rsidRDefault="00214762" w:rsidP="008607A3">
      <w:pPr>
        <w:spacing w:after="0" w:line="240" w:lineRule="auto"/>
        <w:ind w:left="720"/>
        <w:contextualSpacing/>
        <w:rPr>
          <w:rFonts w:ascii="Calibri Light" w:hAnsi="Calibri Light" w:cs="Calibri Light"/>
          <w:i/>
          <w:position w:val="6"/>
          <w:sz w:val="20"/>
          <w:szCs w:val="20"/>
          <w:lang w:val="en-US"/>
        </w:rPr>
      </w:pPr>
    </w:p>
    <w:p w:rsidR="00214762" w:rsidRPr="00AB1C1B" w:rsidRDefault="00214762" w:rsidP="00214762">
      <w:pPr>
        <w:pStyle w:val="Default"/>
        <w:numPr>
          <w:ilvl w:val="0"/>
          <w:numId w:val="7"/>
        </w:numPr>
        <w:contextualSpacing/>
        <w:rPr>
          <w:rFonts w:ascii="Calibri Light" w:hAnsi="Calibri Light" w:cs="Calibri Light"/>
          <w:sz w:val="22"/>
          <w:szCs w:val="22"/>
          <w:lang w:val="en-US"/>
        </w:rPr>
      </w:pPr>
      <w:r>
        <w:rPr>
          <w:rFonts w:ascii="Calibri Light" w:hAnsi="Calibri Light" w:cs="Calibri Light"/>
          <w:sz w:val="22"/>
          <w:szCs w:val="22"/>
          <w:lang w:val="en-US"/>
        </w:rPr>
        <w:t xml:space="preserve">* Brisson-Banks, C.V. (2010) Managing Change and Transitions; a comparison of different models and their commonalities. Available at: </w:t>
      </w:r>
      <w:hyperlink r:id="rId7">
        <w:r>
          <w:rPr>
            <w:rStyle w:val="InternetLink"/>
            <w:rFonts w:ascii="Calibri Light" w:hAnsi="Calibri Light" w:cs="Calibri Light"/>
            <w:sz w:val="22"/>
            <w:szCs w:val="22"/>
            <w:lang w:val="en-US"/>
          </w:rPr>
          <w:t>https://pdfs.semanticscholar.org/c59f/4ca058704fc3dee3fce50de7344a20ccc146.pdf</w:t>
        </w:r>
      </w:hyperlink>
    </w:p>
    <w:p w:rsidR="00214762" w:rsidRPr="00AB72E1" w:rsidRDefault="00214762" w:rsidP="00214762">
      <w:pPr>
        <w:spacing w:before="158" w:after="158"/>
        <w:ind w:left="720"/>
        <w:contextualSpacing/>
        <w:rPr>
          <w:rFonts w:asciiTheme="majorHAnsi" w:hAnsiTheme="majorHAnsi" w:cstheme="majorHAnsi"/>
          <w:i/>
          <w:sz w:val="20"/>
          <w:szCs w:val="20"/>
          <w:lang w:val="en-US"/>
        </w:rPr>
      </w:pPr>
      <w:r w:rsidRPr="00AB72E1">
        <w:rPr>
          <w:rFonts w:asciiTheme="majorHAnsi" w:hAnsiTheme="majorHAnsi" w:cstheme="majorHAnsi"/>
          <w:i/>
          <w:sz w:val="20"/>
          <w:szCs w:val="20"/>
          <w:lang w:val="en-US"/>
        </w:rPr>
        <w:t xml:space="preserve">This is a review which gives a good introduction to different theories and models of change and transitions that have developed to manage organizational change and improve governance. </w:t>
      </w:r>
    </w:p>
    <w:p w:rsidR="00214762" w:rsidRDefault="00214762" w:rsidP="00214762">
      <w:pPr>
        <w:pStyle w:val="Default"/>
        <w:contextualSpacing/>
        <w:rPr>
          <w:rFonts w:ascii="Calibri Light" w:hAnsi="Calibri Light" w:cs="Calibri Light"/>
          <w:b/>
          <w:bCs/>
          <w:color w:val="0000CC"/>
          <w:sz w:val="22"/>
          <w:szCs w:val="22"/>
          <w:lang w:val="en-US"/>
        </w:rPr>
      </w:pPr>
    </w:p>
    <w:p w:rsidR="00214762" w:rsidRPr="008607A3" w:rsidRDefault="00214762" w:rsidP="00214762">
      <w:pPr>
        <w:pStyle w:val="Default"/>
        <w:numPr>
          <w:ilvl w:val="0"/>
          <w:numId w:val="7"/>
        </w:numPr>
        <w:contextualSpacing/>
        <w:rPr>
          <w:rFonts w:ascii="Calibri Light" w:hAnsi="Calibri Light" w:cs="Calibri Light"/>
          <w:sz w:val="22"/>
          <w:szCs w:val="22"/>
          <w:lang w:val="en-US"/>
        </w:rPr>
      </w:pPr>
      <w:r>
        <w:rPr>
          <w:rFonts w:ascii="Calibri Light" w:hAnsi="Calibri Light" w:cs="Calibri Light"/>
          <w:sz w:val="22"/>
          <w:szCs w:val="22"/>
          <w:lang w:val="en-US"/>
        </w:rPr>
        <w:t xml:space="preserve">* Guijt, I., 2010. </w:t>
      </w:r>
      <w:r>
        <w:rPr>
          <w:rFonts w:ascii="Calibri Light" w:hAnsi="Calibri Light" w:cs="Calibri Light"/>
          <w:i/>
          <w:iCs/>
          <w:sz w:val="22"/>
          <w:szCs w:val="22"/>
          <w:lang w:val="en-US"/>
        </w:rPr>
        <w:t>Accountability and learning; Exploding the Myth of Incompatibility between Accountability and Learning</w:t>
      </w:r>
      <w:r>
        <w:rPr>
          <w:rFonts w:ascii="Calibri Light" w:hAnsi="Calibri Light" w:cs="Calibri Light"/>
          <w:sz w:val="22"/>
          <w:szCs w:val="22"/>
          <w:lang w:val="en-US"/>
        </w:rPr>
        <w:t xml:space="preserve">. pp. 277-292, Ch. 21 in: Ubels, J., Acquaye-Baddoo N.A. </w:t>
      </w:r>
      <w:r>
        <w:rPr>
          <w:rFonts w:ascii="Calibri Light" w:hAnsi="Calibri Light" w:cs="Calibri Light"/>
          <w:i/>
          <w:iCs/>
          <w:sz w:val="22"/>
          <w:szCs w:val="22"/>
          <w:lang w:val="en-US"/>
        </w:rPr>
        <w:t xml:space="preserve">and Alan Fowler, A, (eds.) </w:t>
      </w:r>
      <w:r>
        <w:rPr>
          <w:rFonts w:ascii="Calibri Light" w:hAnsi="Calibri Light" w:cs="Calibri Light"/>
          <w:sz w:val="22"/>
          <w:szCs w:val="22"/>
          <w:lang w:val="en-US"/>
        </w:rPr>
        <w:t xml:space="preserve">Capacity Development in Practice. Earthscan, London. </w:t>
      </w:r>
    </w:p>
    <w:p w:rsidR="00214762" w:rsidRPr="008607A3" w:rsidRDefault="00214762" w:rsidP="00214762">
      <w:pPr>
        <w:pStyle w:val="Default"/>
        <w:ind w:left="720"/>
        <w:contextualSpacing/>
        <w:rPr>
          <w:lang w:val="en-US"/>
        </w:rPr>
      </w:pPr>
      <w:hyperlink r:id="rId8" w:history="1">
        <w:r w:rsidRPr="00EF5FBB">
          <w:rPr>
            <w:rStyle w:val="Hyperlink"/>
            <w:rFonts w:ascii="Calibri Light" w:hAnsi="Calibri Light" w:cs="Calibri Light"/>
            <w:sz w:val="22"/>
            <w:szCs w:val="22"/>
            <w:lang w:val="en-US"/>
          </w:rPr>
          <w:t>http://www.snv.org/public/cms/sites/default/files/explore/download/capacity_development_in_practice.pdf</w:t>
        </w:r>
      </w:hyperlink>
      <w:r w:rsidRPr="008607A3">
        <w:rPr>
          <w:rFonts w:ascii="Calibri Light" w:hAnsi="Calibri Light" w:cs="Calibri Light"/>
          <w:color w:val="0562C1"/>
          <w:sz w:val="22"/>
          <w:szCs w:val="22"/>
          <w:lang w:val="en-US"/>
        </w:rPr>
        <w:t xml:space="preserve"> </w:t>
      </w:r>
    </w:p>
    <w:p w:rsidR="00214762" w:rsidRPr="00AB72E1" w:rsidRDefault="00214762" w:rsidP="00214762">
      <w:pPr>
        <w:spacing w:before="158" w:after="158" w:line="240" w:lineRule="auto"/>
        <w:ind w:left="720"/>
        <w:contextualSpacing/>
        <w:rPr>
          <w:rFonts w:ascii="Calibri Light" w:hAnsi="Calibri Light" w:cs="Calibri Light"/>
          <w:b/>
          <w:bCs/>
          <w:i/>
          <w:lang w:val="en-GB"/>
        </w:rPr>
      </w:pPr>
      <w:r w:rsidRPr="00AB72E1">
        <w:rPr>
          <w:rStyle w:val="InternetLink"/>
          <w:rFonts w:ascii="Calibri Light" w:eastAsia="Calibri" w:hAnsi="Calibri Light" w:cs="Calibri Light"/>
          <w:i/>
          <w:color w:val="000000"/>
          <w:sz w:val="20"/>
          <w:szCs w:val="20"/>
          <w:u w:val="none"/>
          <w:lang w:val="en-US"/>
        </w:rPr>
        <w:t>In this book chapter Irene Guijt discusses the tensions and trade-offs between accountability and learning. While both are considered important in programme or project evaluation, pre-defined project deliverables often have focus on measurable outcomes. Learning is an elusive concept, difficult to measure and quantify</w:t>
      </w:r>
    </w:p>
    <w:p w:rsidR="00214762" w:rsidRPr="00E31BDA" w:rsidRDefault="00214762" w:rsidP="00214762">
      <w:pPr>
        <w:contextualSpacing/>
        <w:rPr>
          <w:rStyle w:val="InternetLink"/>
          <w:lang w:val="en-US"/>
        </w:rPr>
      </w:pPr>
    </w:p>
    <w:p w:rsidR="00214762" w:rsidRPr="008607A3" w:rsidRDefault="00214762" w:rsidP="00214762">
      <w:pPr>
        <w:pStyle w:val="ListParagraph"/>
        <w:numPr>
          <w:ilvl w:val="0"/>
          <w:numId w:val="7"/>
        </w:numPr>
        <w:rPr>
          <w:rFonts w:ascii="Calibri Light" w:hAnsi="Calibri Light" w:cs="Calibri Light"/>
          <w:lang w:val="en-US"/>
        </w:rPr>
      </w:pPr>
      <w:r w:rsidRPr="008607A3">
        <w:rPr>
          <w:rFonts w:ascii="Calibri Light" w:hAnsi="Calibri Light" w:cs="Calibri Light"/>
          <w:lang w:val="en-US"/>
        </w:rPr>
        <w:lastRenderedPageBreak/>
        <w:t xml:space="preserve">* Meadows D.H. (2008) </w:t>
      </w:r>
      <w:r w:rsidRPr="008607A3">
        <w:rPr>
          <w:rFonts w:ascii="Calibri Light" w:hAnsi="Calibri Light" w:cs="Calibri Light"/>
          <w:i/>
          <w:iCs/>
          <w:lang w:val="en-US"/>
        </w:rPr>
        <w:t>Thinking in Systems; a primer.</w:t>
      </w:r>
      <w:r w:rsidRPr="008607A3">
        <w:rPr>
          <w:rFonts w:ascii="Calibri Light" w:hAnsi="Calibri Light" w:cs="Calibri Light"/>
          <w:lang w:val="en-US"/>
        </w:rPr>
        <w:t xml:space="preserve"> Earthscan, London. Ch 6: Leverage Points - Places to Intervene in a System, pp.145-165</w:t>
      </w:r>
    </w:p>
    <w:p w:rsidR="00214762" w:rsidRPr="00AB72E1" w:rsidRDefault="00214762" w:rsidP="00214762">
      <w:pPr>
        <w:ind w:left="720"/>
        <w:contextualSpacing/>
        <w:rPr>
          <w:rFonts w:asciiTheme="majorHAnsi" w:hAnsiTheme="majorHAnsi" w:cstheme="majorHAnsi"/>
          <w:i/>
          <w:sz w:val="20"/>
          <w:szCs w:val="20"/>
          <w:lang w:val="en-US"/>
        </w:rPr>
      </w:pPr>
      <w:r w:rsidRPr="00AB72E1">
        <w:rPr>
          <w:rFonts w:asciiTheme="majorHAnsi" w:hAnsiTheme="majorHAnsi" w:cstheme="majorHAnsi"/>
          <w:i/>
          <w:sz w:val="20"/>
          <w:szCs w:val="20"/>
          <w:lang w:val="en-US"/>
        </w:rPr>
        <w:t xml:space="preserve">Donella Meadows is one of the key people behind the notion of leverage points. She argues that there are different places to intervene in a system that have different capacity to bring about desired and lasting change. </w:t>
      </w:r>
      <w:r>
        <w:rPr>
          <w:rFonts w:asciiTheme="majorHAnsi" w:hAnsiTheme="majorHAnsi" w:cstheme="majorHAnsi"/>
          <w:i/>
          <w:sz w:val="20"/>
          <w:szCs w:val="20"/>
          <w:lang w:val="en-US"/>
        </w:rPr>
        <w:t>In Chapter 6 in her</w:t>
      </w:r>
      <w:r w:rsidRPr="00AB72E1">
        <w:rPr>
          <w:rFonts w:asciiTheme="majorHAnsi" w:hAnsiTheme="majorHAnsi" w:cstheme="majorHAnsi"/>
          <w:i/>
          <w:sz w:val="20"/>
          <w:szCs w:val="20"/>
          <w:lang w:val="en-US"/>
        </w:rPr>
        <w:t xml:space="preserve"> book Thinking in Systems she deals with this subject. </w:t>
      </w:r>
    </w:p>
    <w:p w:rsidR="00214762" w:rsidRPr="00E31BDA" w:rsidRDefault="00214762" w:rsidP="00214762">
      <w:pPr>
        <w:pStyle w:val="Default"/>
        <w:contextualSpacing/>
        <w:rPr>
          <w:rFonts w:ascii="serif" w:hAnsi="serif"/>
          <w:b/>
          <w:bCs/>
          <w:color w:val="0000CC"/>
          <w:sz w:val="23"/>
          <w:lang w:val="en-US"/>
        </w:rPr>
      </w:pPr>
    </w:p>
    <w:p w:rsidR="00214762" w:rsidRPr="008607A3" w:rsidRDefault="00214762" w:rsidP="00214762">
      <w:pPr>
        <w:pStyle w:val="ListParagraph"/>
        <w:numPr>
          <w:ilvl w:val="0"/>
          <w:numId w:val="7"/>
        </w:numPr>
        <w:rPr>
          <w:lang w:val="en-US"/>
        </w:rPr>
      </w:pPr>
      <w:bookmarkStart w:id="1" w:name="creators_name_7446_init"/>
      <w:bookmarkEnd w:id="1"/>
      <w:r w:rsidRPr="008607A3">
        <w:rPr>
          <w:rFonts w:ascii="serif" w:hAnsi="serif"/>
          <w:color w:val="000000"/>
          <w:sz w:val="23"/>
          <w:lang w:val="en-US"/>
        </w:rPr>
        <w:t xml:space="preserve">* </w:t>
      </w:r>
      <w:r w:rsidRPr="008607A3">
        <w:rPr>
          <w:rFonts w:ascii="Calibri Light" w:hAnsi="Calibri Light" w:cs="Calibri Light"/>
          <w:color w:val="000000"/>
          <w:lang w:val="en-US"/>
        </w:rPr>
        <w:t xml:space="preserve">Tosey, P.C., Visser, M. and Saunders, M.N.K. (2012) </w:t>
      </w:r>
      <w:r w:rsidRPr="008607A3">
        <w:rPr>
          <w:rStyle w:val="Emphasis"/>
          <w:rFonts w:ascii="Calibri Light" w:hAnsi="Calibri Light" w:cs="Calibri Light"/>
          <w:color w:val="000000"/>
          <w:lang w:val="en-US"/>
        </w:rPr>
        <w:t>The origins and conceptualisations of `triple-loop’ learning: a critical review</w:t>
      </w:r>
      <w:r w:rsidRPr="008607A3">
        <w:rPr>
          <w:rFonts w:ascii="Calibri Light" w:hAnsi="Calibri Light" w:cs="Calibri Light"/>
          <w:color w:val="000000"/>
          <w:lang w:val="en-US"/>
        </w:rPr>
        <w:t xml:space="preserve"> Management Learning, 43 (3). pp. 289-305. Available at:</w:t>
      </w:r>
      <w:r w:rsidRPr="008607A3">
        <w:rPr>
          <w:rFonts w:ascii="Calibri Light" w:hAnsi="Calibri Light" w:cs="Calibri Light"/>
          <w:b/>
          <w:bCs/>
          <w:lang w:val="en-US"/>
        </w:rPr>
        <w:t xml:space="preserve"> </w:t>
      </w:r>
      <w:hyperlink r:id="rId9">
        <w:r w:rsidRPr="00214762">
          <w:rPr>
            <w:rStyle w:val="InternetLink"/>
            <w:rFonts w:ascii="Calibri Light" w:hAnsi="Calibri Light" w:cs="Calibri Light"/>
            <w:bCs/>
            <w:lang w:val="en-US"/>
          </w:rPr>
          <w:t>http://epubs.surrey.ac.uk/7446/8/Tosey_The_origins_and_conceptualisations.pdf</w:t>
        </w:r>
      </w:hyperlink>
    </w:p>
    <w:p w:rsidR="00214762" w:rsidRDefault="00214762" w:rsidP="00214762">
      <w:pPr>
        <w:ind w:left="720"/>
        <w:contextualSpacing/>
        <w:rPr>
          <w:rFonts w:ascii="Calibri Light" w:hAnsi="Calibri Light" w:cs="Calibri Light"/>
          <w:i/>
          <w:sz w:val="20"/>
          <w:szCs w:val="20"/>
          <w:lang w:val="en-US"/>
        </w:rPr>
      </w:pPr>
      <w:r w:rsidRPr="008607A3">
        <w:rPr>
          <w:rFonts w:ascii="Calibri Light" w:hAnsi="Calibri Light" w:cs="Calibri Light"/>
          <w:i/>
          <w:sz w:val="20"/>
          <w:szCs w:val="20"/>
          <w:lang w:val="en-US"/>
        </w:rPr>
        <w:t>This is a review that introduces the concept of learning loops and levels of learning. It specifically reviews the notion of triple loop learning and  how it relates to organizational learning.</w:t>
      </w:r>
    </w:p>
    <w:p w:rsidR="00214762" w:rsidRPr="008607A3" w:rsidRDefault="00214762" w:rsidP="00214762">
      <w:pPr>
        <w:ind w:left="720"/>
        <w:contextualSpacing/>
        <w:rPr>
          <w:rFonts w:ascii="Calibri Light" w:hAnsi="Calibri Light" w:cs="Calibri Light"/>
          <w:i/>
          <w:sz w:val="20"/>
          <w:szCs w:val="20"/>
          <w:lang w:val="en-US"/>
        </w:rPr>
      </w:pPr>
    </w:p>
    <w:p w:rsidR="00214762" w:rsidRPr="00AB1C1B" w:rsidRDefault="00214762" w:rsidP="00214762">
      <w:pPr>
        <w:pStyle w:val="Default"/>
        <w:numPr>
          <w:ilvl w:val="0"/>
          <w:numId w:val="7"/>
        </w:numPr>
        <w:contextualSpacing/>
        <w:rPr>
          <w:lang w:val="en-US"/>
        </w:rPr>
      </w:pPr>
      <w:r>
        <w:rPr>
          <w:rFonts w:ascii="Calibri Light" w:hAnsi="Calibri Light" w:cs="Calibri Light"/>
          <w:sz w:val="22"/>
          <w:szCs w:val="22"/>
          <w:lang w:val="en-US"/>
        </w:rPr>
        <w:t xml:space="preserve">* Wang, C.L. and Ahmed, P. K. (2003) Organizational learning: a critical review. </w:t>
      </w:r>
      <w:r>
        <w:rPr>
          <w:rFonts w:ascii="Calibri Light" w:hAnsi="Calibri Light" w:cs="Calibri Light"/>
          <w:i/>
          <w:iCs/>
          <w:sz w:val="22"/>
          <w:szCs w:val="22"/>
          <w:lang w:val="en-US"/>
        </w:rPr>
        <w:t xml:space="preserve">The Learning Organization </w:t>
      </w:r>
      <w:r>
        <w:rPr>
          <w:rFonts w:ascii="Calibri Light" w:hAnsi="Calibri Light" w:cs="Calibri Light"/>
          <w:sz w:val="22"/>
          <w:szCs w:val="22"/>
          <w:lang w:val="en-US"/>
        </w:rPr>
        <w:t xml:space="preserve">10, 8-17 </w:t>
      </w:r>
    </w:p>
    <w:p w:rsidR="00214762" w:rsidRPr="00E31BDA" w:rsidRDefault="00214762" w:rsidP="00214762">
      <w:pPr>
        <w:pStyle w:val="Default"/>
        <w:ind w:left="720"/>
        <w:contextualSpacing/>
        <w:rPr>
          <w:lang w:val="en-US"/>
        </w:rPr>
      </w:pPr>
    </w:p>
    <w:p w:rsidR="00214762" w:rsidRPr="008607A3" w:rsidRDefault="00214762" w:rsidP="00214762">
      <w:pPr>
        <w:pStyle w:val="Default"/>
        <w:spacing w:before="144"/>
        <w:ind w:left="720"/>
        <w:contextualSpacing/>
        <w:rPr>
          <w:rFonts w:ascii="Calibri Light" w:hAnsi="Calibri Light" w:cs="Calibri Light"/>
          <w:i/>
          <w:sz w:val="20"/>
          <w:szCs w:val="20"/>
          <w:lang w:val="en-US"/>
        </w:rPr>
      </w:pPr>
      <w:r w:rsidRPr="008607A3">
        <w:rPr>
          <w:rFonts w:ascii="Calibri Light" w:hAnsi="Calibri Light" w:cs="Calibri Light"/>
          <w:i/>
          <w:sz w:val="20"/>
          <w:szCs w:val="20"/>
          <w:lang w:val="en-US"/>
        </w:rPr>
        <w:t>This review paper provides an intro to the concept of organisational learning and knowledge management. From the literature reviewed, the authors identifies five different focuses of the concept and the associated practices.</w:t>
      </w:r>
    </w:p>
    <w:p w:rsidR="00214762" w:rsidRDefault="00214762" w:rsidP="00214762">
      <w:pPr>
        <w:pStyle w:val="Default"/>
        <w:contextualSpacing/>
        <w:rPr>
          <w:rFonts w:ascii="Calibri Light" w:hAnsi="Calibri Light" w:cs="Calibri Light"/>
          <w:b/>
          <w:bCs/>
          <w:color w:val="0000CC"/>
          <w:sz w:val="22"/>
          <w:szCs w:val="22"/>
          <w:lang w:val="en-US"/>
        </w:rPr>
      </w:pPr>
    </w:p>
    <w:p w:rsidR="00214762" w:rsidRDefault="00214762" w:rsidP="00214762">
      <w:pPr>
        <w:pStyle w:val="Default"/>
        <w:contextualSpacing/>
        <w:rPr>
          <w:rFonts w:ascii="Calibri Light" w:hAnsi="Calibri Light" w:cs="Calibri Light"/>
          <w:b/>
          <w:bCs/>
          <w:color w:val="0000CC"/>
          <w:sz w:val="22"/>
          <w:szCs w:val="22"/>
          <w:lang w:val="en-US"/>
        </w:rPr>
      </w:pPr>
    </w:p>
    <w:p w:rsidR="00214762" w:rsidRPr="00E31BDA" w:rsidRDefault="00214762" w:rsidP="00214762">
      <w:pPr>
        <w:pStyle w:val="Default"/>
        <w:numPr>
          <w:ilvl w:val="0"/>
          <w:numId w:val="7"/>
        </w:numPr>
        <w:contextualSpacing/>
        <w:rPr>
          <w:lang w:val="en-US"/>
        </w:rPr>
      </w:pPr>
      <w:r>
        <w:rPr>
          <w:rFonts w:ascii="Calibri Light" w:hAnsi="Calibri Light" w:cs="Calibri Light"/>
          <w:sz w:val="22"/>
          <w:szCs w:val="22"/>
          <w:lang w:val="en-US"/>
        </w:rPr>
        <w:t xml:space="preserve">* Wilder B.T, O’Meara C., Monti L. and Nabhan G.P. (2016) The Importance of Indigenous Knowledge in Curbing the Loss of Language and Biodiversity. </w:t>
      </w:r>
      <w:r>
        <w:rPr>
          <w:rFonts w:ascii="Calibri Light" w:hAnsi="Calibri Light" w:cs="Calibri Light"/>
          <w:i/>
          <w:iCs/>
          <w:sz w:val="22"/>
          <w:szCs w:val="22"/>
          <w:lang w:val="en-US"/>
        </w:rPr>
        <w:t>Bioscience Advance</w:t>
      </w:r>
      <w:r>
        <w:rPr>
          <w:rFonts w:ascii="Calibri Light" w:hAnsi="Calibri Light" w:cs="Calibri Light"/>
          <w:sz w:val="22"/>
          <w:szCs w:val="22"/>
          <w:lang w:val="en-US"/>
        </w:rPr>
        <w:t>, Vol 66(6)</w:t>
      </w:r>
    </w:p>
    <w:p w:rsidR="00214762" w:rsidRPr="008607A3" w:rsidRDefault="00214762" w:rsidP="00214762">
      <w:pPr>
        <w:spacing w:before="158" w:after="158"/>
        <w:ind w:left="720"/>
        <w:contextualSpacing/>
        <w:rPr>
          <w:rFonts w:ascii="Calibri Light" w:hAnsi="Calibri Light" w:cs="Calibri Light"/>
          <w:i/>
          <w:color w:val="000000"/>
          <w:sz w:val="20"/>
          <w:szCs w:val="20"/>
          <w:lang w:val="en-US"/>
        </w:rPr>
      </w:pPr>
      <w:r w:rsidRPr="008607A3">
        <w:rPr>
          <w:rFonts w:ascii="Calibri Light" w:hAnsi="Calibri Light" w:cs="Calibri Light"/>
          <w:i/>
          <w:color w:val="000000"/>
          <w:sz w:val="20"/>
          <w:szCs w:val="20"/>
          <w:lang w:val="en-US"/>
        </w:rPr>
        <w:t>Much has been written about indigenous or local knowledge. This text has been selected as it provides a introduction and summary of the topic with reference to a case of biodiversity inventory, monitoring, and species-recovery in Mexico.</w:t>
      </w:r>
    </w:p>
    <w:p w:rsidR="00214762" w:rsidRPr="00AB72E1" w:rsidRDefault="00214762" w:rsidP="008607A3">
      <w:pPr>
        <w:spacing w:after="0" w:line="240" w:lineRule="auto"/>
        <w:ind w:left="720"/>
        <w:contextualSpacing/>
        <w:rPr>
          <w:i/>
          <w:sz w:val="20"/>
          <w:szCs w:val="20"/>
          <w:lang w:val="en-US"/>
        </w:rPr>
      </w:pPr>
    </w:p>
    <w:p w:rsidR="00DD2ABF" w:rsidRDefault="00DD2ABF" w:rsidP="008607A3">
      <w:pPr>
        <w:pStyle w:val="Default"/>
        <w:contextualSpacing/>
        <w:rPr>
          <w:rFonts w:ascii="Calibri Light" w:hAnsi="Calibri Light" w:cs="Calibri Light"/>
          <w:sz w:val="22"/>
          <w:szCs w:val="22"/>
          <w:lang w:val="en-US"/>
        </w:rPr>
      </w:pPr>
    </w:p>
    <w:p w:rsidR="00DD2ABF" w:rsidRDefault="00DD2ABF" w:rsidP="008607A3">
      <w:pPr>
        <w:pStyle w:val="Default"/>
        <w:contextualSpacing/>
        <w:rPr>
          <w:rFonts w:ascii="Calibri Light" w:hAnsi="Calibri Light" w:cs="Calibri Light"/>
          <w:b/>
          <w:bCs/>
          <w:color w:val="0000CC"/>
          <w:sz w:val="22"/>
          <w:szCs w:val="22"/>
          <w:lang w:val="en-US"/>
        </w:rPr>
      </w:pPr>
    </w:p>
    <w:p w:rsidR="00E576F9" w:rsidRPr="00E576F9" w:rsidRDefault="00E576F9" w:rsidP="008607A3">
      <w:pPr>
        <w:contextualSpacing/>
        <w:rPr>
          <w:rFonts w:asciiTheme="majorHAnsi" w:hAnsiTheme="majorHAnsi" w:cstheme="majorHAnsi"/>
          <w:color w:val="000000"/>
          <w:lang w:val="en-US"/>
        </w:rPr>
      </w:pPr>
      <w:r w:rsidRPr="00E576F9">
        <w:rPr>
          <w:rFonts w:asciiTheme="majorHAnsi" w:hAnsiTheme="majorHAnsi" w:cstheme="majorHAnsi"/>
          <w:lang w:val="en-US"/>
        </w:rPr>
        <w:br w:type="page"/>
      </w:r>
    </w:p>
    <w:p w:rsidR="00541131" w:rsidRPr="00E576F9" w:rsidRDefault="00541131" w:rsidP="008607A3">
      <w:pPr>
        <w:pStyle w:val="Default"/>
        <w:contextualSpacing/>
        <w:rPr>
          <w:rFonts w:asciiTheme="majorHAnsi" w:hAnsiTheme="majorHAnsi" w:cstheme="majorHAnsi"/>
          <w:sz w:val="22"/>
          <w:szCs w:val="22"/>
          <w:lang w:val="en-US"/>
        </w:rPr>
      </w:pPr>
    </w:p>
    <w:p w:rsidR="00E576F9" w:rsidRPr="00B50307" w:rsidRDefault="001D6269" w:rsidP="008607A3">
      <w:pPr>
        <w:pStyle w:val="Heading1"/>
        <w:ind w:firstLine="720"/>
        <w:contextualSpacing/>
        <w:rPr>
          <w:lang w:val="en-US"/>
        </w:rPr>
      </w:pPr>
      <w:r>
        <w:rPr>
          <w:lang w:val="en-US"/>
        </w:rPr>
        <w:t>Process Facilitation / Magnus Ljung’s</w:t>
      </w:r>
      <w:r w:rsidR="00541131" w:rsidRPr="00B50307">
        <w:rPr>
          <w:lang w:val="en-US"/>
        </w:rPr>
        <w:t xml:space="preserve"> lectures </w:t>
      </w:r>
    </w:p>
    <w:p w:rsidR="009C4E16" w:rsidRPr="00955ED2" w:rsidRDefault="009C4E16" w:rsidP="008607A3">
      <w:pPr>
        <w:pStyle w:val="Default"/>
        <w:numPr>
          <w:ilvl w:val="0"/>
          <w:numId w:val="3"/>
        </w:numPr>
        <w:contextualSpacing/>
        <w:rPr>
          <w:rFonts w:asciiTheme="majorHAnsi" w:hAnsiTheme="majorHAnsi" w:cstheme="majorHAnsi"/>
          <w:sz w:val="22"/>
          <w:szCs w:val="22"/>
        </w:rPr>
      </w:pPr>
      <w:r w:rsidRPr="008607A3">
        <w:rPr>
          <w:rFonts w:asciiTheme="majorHAnsi" w:hAnsiTheme="majorHAnsi" w:cstheme="majorHAnsi"/>
          <w:sz w:val="22"/>
          <w:szCs w:val="22"/>
        </w:rPr>
        <w:t xml:space="preserve">* Axelsson, R, Ljung, M, Blicharska, M et al. 2020. </w:t>
      </w:r>
      <w:r w:rsidRPr="009C4E16">
        <w:rPr>
          <w:rFonts w:asciiTheme="majorHAnsi" w:hAnsiTheme="majorHAnsi" w:cstheme="majorHAnsi"/>
          <w:sz w:val="22"/>
          <w:szCs w:val="22"/>
          <w:lang w:val="en-US"/>
        </w:rPr>
        <w:t xml:space="preserve">The challenge of transdisciplinary research: A case study of learning by evaluation for sustainable transport infrastructures. </w:t>
      </w:r>
      <w:r w:rsidRPr="00955ED2">
        <w:rPr>
          <w:rFonts w:asciiTheme="majorHAnsi" w:hAnsiTheme="majorHAnsi" w:cstheme="majorHAnsi"/>
          <w:i/>
          <w:sz w:val="22"/>
          <w:szCs w:val="22"/>
        </w:rPr>
        <w:t>Sustainability</w:t>
      </w:r>
      <w:r w:rsidRPr="00955ED2">
        <w:rPr>
          <w:rFonts w:asciiTheme="majorHAnsi" w:hAnsiTheme="majorHAnsi" w:cstheme="majorHAnsi"/>
          <w:sz w:val="22"/>
          <w:szCs w:val="22"/>
        </w:rPr>
        <w:t xml:space="preserve"> 12:17</w:t>
      </w:r>
      <w:r>
        <w:rPr>
          <w:rFonts w:asciiTheme="majorHAnsi" w:hAnsiTheme="majorHAnsi" w:cstheme="majorHAnsi"/>
          <w:sz w:val="22"/>
          <w:szCs w:val="22"/>
        </w:rPr>
        <w:t>.</w:t>
      </w:r>
    </w:p>
    <w:p w:rsidR="009C4E16" w:rsidRDefault="009C4E16" w:rsidP="008607A3">
      <w:pPr>
        <w:pStyle w:val="Default"/>
        <w:contextualSpacing/>
        <w:rPr>
          <w:rFonts w:asciiTheme="majorHAnsi" w:hAnsiTheme="majorHAnsi" w:cstheme="majorHAnsi"/>
          <w:sz w:val="22"/>
          <w:szCs w:val="22"/>
          <w:lang w:val="en-GB"/>
        </w:rPr>
      </w:pPr>
    </w:p>
    <w:p w:rsidR="009C4E16" w:rsidRPr="00955ED2" w:rsidRDefault="009C4E16" w:rsidP="008607A3">
      <w:pPr>
        <w:pStyle w:val="Default"/>
        <w:numPr>
          <w:ilvl w:val="0"/>
          <w:numId w:val="3"/>
        </w:numPr>
        <w:contextualSpacing/>
        <w:rPr>
          <w:rFonts w:asciiTheme="majorHAnsi" w:hAnsiTheme="majorHAnsi" w:cstheme="majorHAnsi"/>
          <w:sz w:val="22"/>
          <w:szCs w:val="22"/>
          <w:lang w:val="en-GB"/>
        </w:rPr>
      </w:pPr>
      <w:r w:rsidRPr="00955ED2">
        <w:rPr>
          <w:rFonts w:asciiTheme="majorHAnsi" w:hAnsiTheme="majorHAnsi" w:cstheme="majorHAnsi"/>
          <w:sz w:val="22"/>
          <w:szCs w:val="22"/>
          <w:lang w:val="en-GB"/>
        </w:rPr>
        <w:t xml:space="preserve">Barbier M. </w:t>
      </w:r>
      <w:r>
        <w:rPr>
          <w:rFonts w:asciiTheme="majorHAnsi" w:hAnsiTheme="majorHAnsi" w:cstheme="majorHAnsi"/>
          <w:sz w:val="22"/>
          <w:szCs w:val="22"/>
          <w:lang w:val="en-GB"/>
        </w:rPr>
        <w:t>&amp;</w:t>
      </w:r>
      <w:r w:rsidRPr="00955ED2">
        <w:rPr>
          <w:rFonts w:asciiTheme="majorHAnsi" w:hAnsiTheme="majorHAnsi" w:cstheme="majorHAnsi"/>
          <w:sz w:val="22"/>
          <w:szCs w:val="22"/>
          <w:lang w:val="en-GB"/>
        </w:rPr>
        <w:t xml:space="preserve"> Elzen B. (eds), 2012. </w:t>
      </w:r>
      <w:r w:rsidRPr="00FA40C7">
        <w:rPr>
          <w:rFonts w:asciiTheme="majorHAnsi" w:hAnsiTheme="majorHAnsi" w:cstheme="majorHAnsi"/>
          <w:i/>
          <w:sz w:val="22"/>
          <w:szCs w:val="22"/>
          <w:lang w:val="en-GB"/>
        </w:rPr>
        <w:t>System Innovations, Knowledge Regimes, and Design Practices towards Transitions for Sustainable Agriculture. Part II: Intervention with Design</w:t>
      </w:r>
      <w:r>
        <w:rPr>
          <w:rFonts w:asciiTheme="majorHAnsi" w:hAnsiTheme="majorHAnsi" w:cstheme="majorHAnsi"/>
          <w:sz w:val="22"/>
          <w:szCs w:val="22"/>
          <w:lang w:val="en-GB"/>
        </w:rPr>
        <w:t xml:space="preserve">. INRA, Paris, pp 102-170. PDF </w:t>
      </w:r>
      <w:r w:rsidRPr="009C4E16">
        <w:rPr>
          <w:rFonts w:asciiTheme="majorHAnsi" w:hAnsiTheme="majorHAnsi" w:cstheme="majorHAnsi"/>
          <w:sz w:val="22"/>
          <w:szCs w:val="22"/>
          <w:lang w:val="en-GB"/>
        </w:rPr>
        <w:t>available from Magnus Ljung.</w:t>
      </w:r>
    </w:p>
    <w:p w:rsidR="009C4E16" w:rsidRDefault="009C4E16" w:rsidP="008607A3">
      <w:pPr>
        <w:pStyle w:val="Default"/>
        <w:contextualSpacing/>
        <w:rPr>
          <w:rFonts w:asciiTheme="majorHAnsi" w:hAnsiTheme="majorHAnsi" w:cstheme="majorHAnsi"/>
          <w:sz w:val="22"/>
          <w:szCs w:val="22"/>
          <w:lang w:val="en-GB"/>
        </w:rPr>
      </w:pPr>
    </w:p>
    <w:p w:rsidR="009C4E16" w:rsidRPr="00FA40C7" w:rsidRDefault="009C4E16" w:rsidP="008607A3">
      <w:pPr>
        <w:pStyle w:val="Default"/>
        <w:numPr>
          <w:ilvl w:val="0"/>
          <w:numId w:val="3"/>
        </w:numPr>
        <w:contextualSpacing/>
        <w:rPr>
          <w:rFonts w:asciiTheme="majorHAnsi" w:hAnsiTheme="majorHAnsi" w:cstheme="majorHAnsi"/>
          <w:sz w:val="22"/>
          <w:szCs w:val="22"/>
          <w:lang w:val="en-GB"/>
        </w:rPr>
      </w:pPr>
      <w:r w:rsidRPr="009C4E16">
        <w:rPr>
          <w:rFonts w:asciiTheme="majorHAnsi" w:hAnsiTheme="majorHAnsi" w:cstheme="majorHAnsi"/>
          <w:sz w:val="22"/>
          <w:szCs w:val="22"/>
          <w:lang w:val="en-US"/>
        </w:rPr>
        <w:t xml:space="preserve">* </w:t>
      </w:r>
      <w:r w:rsidRPr="00FA40C7">
        <w:rPr>
          <w:rFonts w:asciiTheme="majorHAnsi" w:hAnsiTheme="majorHAnsi" w:cstheme="majorHAnsi"/>
          <w:sz w:val="22"/>
          <w:szCs w:val="22"/>
          <w:lang w:val="en-GB"/>
        </w:rPr>
        <w:t>Bro</w:t>
      </w:r>
      <w:r>
        <w:rPr>
          <w:rFonts w:asciiTheme="majorHAnsi" w:hAnsiTheme="majorHAnsi" w:cstheme="majorHAnsi"/>
          <w:sz w:val="22"/>
          <w:szCs w:val="22"/>
          <w:lang w:val="en-GB"/>
        </w:rPr>
        <w:t xml:space="preserve">uwer, H. &amp; Woodhill, J. </w:t>
      </w:r>
      <w:r w:rsidRPr="00FA40C7">
        <w:rPr>
          <w:rFonts w:asciiTheme="majorHAnsi" w:hAnsiTheme="majorHAnsi" w:cstheme="majorHAnsi"/>
          <w:sz w:val="22"/>
          <w:szCs w:val="22"/>
          <w:lang w:val="en-GB"/>
        </w:rPr>
        <w:t>2016</w:t>
      </w:r>
      <w:r>
        <w:rPr>
          <w:rFonts w:asciiTheme="majorHAnsi" w:hAnsiTheme="majorHAnsi" w:cstheme="majorHAnsi"/>
          <w:sz w:val="22"/>
          <w:szCs w:val="22"/>
          <w:lang w:val="en-GB"/>
        </w:rPr>
        <w:t xml:space="preserve">. </w:t>
      </w:r>
      <w:r w:rsidRPr="00FA40C7">
        <w:rPr>
          <w:rFonts w:asciiTheme="majorHAnsi" w:hAnsiTheme="majorHAnsi" w:cstheme="majorHAnsi"/>
          <w:i/>
          <w:sz w:val="22"/>
          <w:szCs w:val="22"/>
          <w:lang w:val="en-GB"/>
        </w:rPr>
        <w:t>The MSP Guide: How to design and facilitate multi-stakeholder partnerships</w:t>
      </w:r>
      <w:r>
        <w:rPr>
          <w:rFonts w:asciiTheme="majorHAnsi" w:hAnsiTheme="majorHAnsi" w:cstheme="majorHAnsi"/>
          <w:sz w:val="22"/>
          <w:szCs w:val="22"/>
          <w:lang w:val="en-GB"/>
        </w:rPr>
        <w:t>.</w:t>
      </w:r>
      <w:r w:rsidRPr="00FA40C7">
        <w:rPr>
          <w:rFonts w:asciiTheme="majorHAnsi" w:hAnsiTheme="majorHAnsi" w:cstheme="majorHAnsi"/>
          <w:sz w:val="22"/>
          <w:szCs w:val="22"/>
          <w:lang w:val="en-GB"/>
        </w:rPr>
        <w:t xml:space="preserve"> Wageningen: Wageningen University and Research, CDI, and Rugby, UK: Practical Action Publishing, </w:t>
      </w:r>
      <w:r>
        <w:rPr>
          <w:rFonts w:asciiTheme="majorHAnsi" w:hAnsiTheme="majorHAnsi" w:cstheme="majorHAnsi"/>
          <w:sz w:val="22"/>
          <w:szCs w:val="22"/>
          <w:lang w:val="en-GB"/>
        </w:rPr>
        <w:t xml:space="preserve">URL: </w:t>
      </w:r>
      <w:hyperlink r:id="rId10" w:history="1">
        <w:r w:rsidRPr="009D394B">
          <w:rPr>
            <w:rStyle w:val="Hyperlink"/>
            <w:rFonts w:asciiTheme="majorHAnsi" w:hAnsiTheme="majorHAnsi" w:cstheme="majorHAnsi"/>
            <w:sz w:val="22"/>
            <w:szCs w:val="22"/>
            <w:lang w:val="en-GB"/>
          </w:rPr>
          <w:t>https://practicalactionpublishing.com/book/1446/the-msp-guide</w:t>
        </w:r>
      </w:hyperlink>
      <w:r>
        <w:rPr>
          <w:rFonts w:asciiTheme="majorHAnsi" w:hAnsiTheme="majorHAnsi" w:cstheme="majorHAnsi"/>
          <w:sz w:val="22"/>
          <w:szCs w:val="22"/>
          <w:lang w:val="en-GB"/>
        </w:rPr>
        <w:t xml:space="preserve"> </w:t>
      </w:r>
    </w:p>
    <w:p w:rsidR="009C4E16" w:rsidRPr="00FA40C7" w:rsidRDefault="009C4E16" w:rsidP="008607A3">
      <w:pPr>
        <w:pStyle w:val="Default"/>
        <w:contextualSpacing/>
        <w:rPr>
          <w:rFonts w:asciiTheme="majorHAnsi" w:hAnsiTheme="majorHAnsi" w:cstheme="majorHAnsi"/>
          <w:sz w:val="22"/>
          <w:szCs w:val="22"/>
          <w:lang w:val="en-GB"/>
        </w:rPr>
      </w:pPr>
    </w:p>
    <w:p w:rsidR="009C4E16" w:rsidRPr="00B62DA0" w:rsidRDefault="009C4E16" w:rsidP="008607A3">
      <w:pPr>
        <w:pStyle w:val="Default"/>
        <w:numPr>
          <w:ilvl w:val="0"/>
          <w:numId w:val="3"/>
        </w:numPr>
        <w:contextualSpacing/>
        <w:rPr>
          <w:rFonts w:asciiTheme="majorHAnsi" w:hAnsiTheme="majorHAnsi" w:cstheme="majorHAnsi"/>
          <w:sz w:val="22"/>
          <w:szCs w:val="22"/>
          <w:lang w:val="en-GB"/>
        </w:rPr>
      </w:pPr>
      <w:r w:rsidRPr="002C3E09">
        <w:rPr>
          <w:rFonts w:asciiTheme="majorHAnsi" w:hAnsiTheme="majorHAnsi" w:cstheme="majorHAnsi"/>
          <w:sz w:val="22"/>
          <w:szCs w:val="22"/>
          <w:lang w:val="en-GB"/>
        </w:rPr>
        <w:t xml:space="preserve">* </w:t>
      </w:r>
      <w:r w:rsidRPr="00FA40C7">
        <w:rPr>
          <w:rFonts w:asciiTheme="majorHAnsi" w:hAnsiTheme="majorHAnsi" w:cstheme="majorHAnsi"/>
          <w:sz w:val="22"/>
          <w:szCs w:val="22"/>
          <w:lang w:val="en-GB"/>
        </w:rPr>
        <w:t xml:space="preserve">Callo, V &amp; </w:t>
      </w:r>
      <w:r w:rsidRPr="00B62DA0">
        <w:rPr>
          <w:rFonts w:asciiTheme="majorHAnsi" w:hAnsiTheme="majorHAnsi" w:cstheme="majorHAnsi"/>
          <w:sz w:val="22"/>
          <w:szCs w:val="22"/>
          <w:lang w:val="en-GB"/>
        </w:rPr>
        <w:t>Packham</w:t>
      </w:r>
      <w:r w:rsidRPr="00FA40C7">
        <w:rPr>
          <w:rFonts w:asciiTheme="majorHAnsi" w:hAnsiTheme="majorHAnsi" w:cstheme="majorHAnsi"/>
          <w:sz w:val="22"/>
          <w:szCs w:val="22"/>
          <w:lang w:val="en-GB"/>
        </w:rPr>
        <w:t>, R</w:t>
      </w:r>
      <w:r w:rsidRPr="00B62DA0">
        <w:rPr>
          <w:rFonts w:asciiTheme="majorHAnsi" w:hAnsiTheme="majorHAnsi" w:cstheme="majorHAnsi"/>
          <w:sz w:val="22"/>
          <w:szCs w:val="22"/>
          <w:lang w:val="en-GB"/>
        </w:rPr>
        <w:t xml:space="preserve">. 1999. The use of soft systems methodology in emancipatory development. </w:t>
      </w:r>
      <w:r w:rsidRPr="00B62DA0">
        <w:rPr>
          <w:rFonts w:asciiTheme="majorHAnsi" w:hAnsiTheme="majorHAnsi" w:cstheme="majorHAnsi"/>
          <w:i/>
          <w:sz w:val="22"/>
          <w:szCs w:val="22"/>
          <w:lang w:val="en-GB"/>
        </w:rPr>
        <w:t>Systems Research and Behavioral Science</w:t>
      </w:r>
      <w:r w:rsidRPr="00B62DA0">
        <w:rPr>
          <w:rFonts w:asciiTheme="majorHAnsi" w:hAnsiTheme="majorHAnsi" w:cstheme="majorHAnsi"/>
          <w:sz w:val="22"/>
          <w:szCs w:val="22"/>
          <w:lang w:val="en-GB"/>
        </w:rPr>
        <w:t xml:space="preserve">, 16(4), 311-319. </w:t>
      </w:r>
    </w:p>
    <w:p w:rsidR="009C4E16" w:rsidRPr="00E576F9" w:rsidRDefault="009C4E16" w:rsidP="008607A3">
      <w:pPr>
        <w:pStyle w:val="Default"/>
        <w:contextualSpacing/>
        <w:rPr>
          <w:rFonts w:asciiTheme="majorHAnsi" w:hAnsiTheme="majorHAnsi" w:cstheme="majorHAnsi"/>
          <w:sz w:val="22"/>
          <w:szCs w:val="22"/>
          <w:lang w:val="en-US"/>
        </w:rPr>
      </w:pPr>
    </w:p>
    <w:p w:rsidR="009C4E16" w:rsidRPr="00E576F9" w:rsidRDefault="009C4E16" w:rsidP="008607A3">
      <w:pPr>
        <w:pStyle w:val="Default"/>
        <w:numPr>
          <w:ilvl w:val="0"/>
          <w:numId w:val="3"/>
        </w:numPr>
        <w:contextualSpacing/>
        <w:rPr>
          <w:rFonts w:asciiTheme="majorHAnsi" w:hAnsiTheme="majorHAnsi" w:cstheme="majorHAnsi"/>
          <w:sz w:val="22"/>
          <w:szCs w:val="22"/>
          <w:lang w:val="en-US"/>
        </w:rPr>
      </w:pPr>
      <w:r w:rsidRPr="002C3E09">
        <w:rPr>
          <w:rFonts w:asciiTheme="majorHAnsi" w:hAnsiTheme="majorHAnsi" w:cstheme="majorHAnsi"/>
          <w:sz w:val="22"/>
          <w:szCs w:val="22"/>
          <w:lang w:val="en-GB"/>
        </w:rPr>
        <w:t xml:space="preserve">* </w:t>
      </w:r>
      <w:r>
        <w:rPr>
          <w:rFonts w:asciiTheme="majorHAnsi" w:hAnsiTheme="majorHAnsi" w:cstheme="majorHAnsi"/>
          <w:sz w:val="22"/>
          <w:szCs w:val="22"/>
          <w:lang w:val="en-US"/>
        </w:rPr>
        <w:t>Flood, R. 1999</w:t>
      </w:r>
      <w:r w:rsidRPr="00E576F9">
        <w:rPr>
          <w:rFonts w:asciiTheme="majorHAnsi" w:hAnsiTheme="majorHAnsi" w:cstheme="majorHAnsi"/>
          <w:sz w:val="22"/>
          <w:szCs w:val="22"/>
          <w:lang w:val="en-US"/>
        </w:rPr>
        <w:t xml:space="preserve">. </w:t>
      </w:r>
      <w:r w:rsidRPr="00E576F9">
        <w:rPr>
          <w:rFonts w:asciiTheme="majorHAnsi" w:hAnsiTheme="majorHAnsi" w:cstheme="majorHAnsi"/>
          <w:i/>
          <w:iCs/>
          <w:sz w:val="22"/>
          <w:szCs w:val="22"/>
          <w:lang w:val="en-US"/>
        </w:rPr>
        <w:t>Rethinking the Fifth Discipline</w:t>
      </w:r>
      <w:r w:rsidRPr="00E576F9">
        <w:rPr>
          <w:rFonts w:asciiTheme="majorHAnsi" w:hAnsiTheme="majorHAnsi" w:cstheme="majorHAnsi"/>
          <w:sz w:val="22"/>
          <w:szCs w:val="22"/>
          <w:lang w:val="en-US"/>
        </w:rPr>
        <w:t xml:space="preserve">. London: Routledge. </w:t>
      </w:r>
    </w:p>
    <w:p w:rsidR="009C4E16" w:rsidRPr="00E576F9" w:rsidRDefault="009C4E16" w:rsidP="008607A3">
      <w:pPr>
        <w:pStyle w:val="Default"/>
        <w:ind w:left="720"/>
        <w:contextualSpacing/>
        <w:rPr>
          <w:rFonts w:asciiTheme="majorHAnsi" w:hAnsiTheme="majorHAnsi" w:cstheme="majorHAnsi"/>
          <w:sz w:val="22"/>
          <w:szCs w:val="22"/>
          <w:lang w:val="en-US"/>
        </w:rPr>
      </w:pPr>
      <w:r w:rsidRPr="00E576F9">
        <w:rPr>
          <w:rFonts w:asciiTheme="majorHAnsi" w:hAnsiTheme="majorHAnsi" w:cstheme="majorHAnsi"/>
          <w:sz w:val="22"/>
          <w:szCs w:val="22"/>
          <w:lang w:val="en-US"/>
        </w:rPr>
        <w:t>(Available online through the library;</w:t>
      </w:r>
      <w:r>
        <w:rPr>
          <w:rFonts w:asciiTheme="majorHAnsi" w:hAnsiTheme="majorHAnsi" w:cstheme="majorHAnsi"/>
          <w:sz w:val="22"/>
          <w:szCs w:val="22"/>
          <w:lang w:val="en-US"/>
        </w:rPr>
        <w:t xml:space="preserve"> </w:t>
      </w:r>
      <w:hyperlink r:id="rId11" w:history="1">
        <w:r w:rsidRPr="00EF5FBB">
          <w:rPr>
            <w:rStyle w:val="Hyperlink"/>
            <w:rFonts w:asciiTheme="majorHAnsi" w:hAnsiTheme="majorHAnsi" w:cstheme="majorHAnsi"/>
            <w:sz w:val="22"/>
            <w:szCs w:val="22"/>
            <w:lang w:val="en-US"/>
          </w:rPr>
          <w:t>https://ebookcentral.proquest.com/lib/slub-ebooks/detail.action?docID=165413</w:t>
        </w:r>
      </w:hyperlink>
      <w:r>
        <w:rPr>
          <w:rFonts w:asciiTheme="majorHAnsi" w:hAnsiTheme="majorHAnsi" w:cstheme="majorHAnsi"/>
          <w:sz w:val="22"/>
          <w:szCs w:val="22"/>
          <w:lang w:val="en-US"/>
        </w:rPr>
        <w:t xml:space="preserve"> – Register account on Campus or via VPN from home</w:t>
      </w:r>
      <w:r w:rsidRPr="00E576F9">
        <w:rPr>
          <w:rFonts w:asciiTheme="majorHAnsi" w:hAnsiTheme="majorHAnsi" w:cstheme="majorHAnsi"/>
          <w:sz w:val="22"/>
          <w:szCs w:val="22"/>
          <w:lang w:val="en-US"/>
        </w:rPr>
        <w:t>)</w:t>
      </w:r>
    </w:p>
    <w:p w:rsidR="009C4E16" w:rsidRDefault="009C4E16" w:rsidP="008607A3">
      <w:pPr>
        <w:pStyle w:val="Default"/>
        <w:contextualSpacing/>
        <w:rPr>
          <w:rFonts w:asciiTheme="majorHAnsi" w:hAnsiTheme="majorHAnsi" w:cstheme="majorHAnsi"/>
          <w:sz w:val="22"/>
          <w:szCs w:val="22"/>
          <w:lang w:val="en-US"/>
        </w:rPr>
      </w:pPr>
    </w:p>
    <w:p w:rsidR="009C4E16" w:rsidRPr="00B62DA0" w:rsidRDefault="009C4E16" w:rsidP="008607A3">
      <w:pPr>
        <w:pStyle w:val="Default"/>
        <w:numPr>
          <w:ilvl w:val="0"/>
          <w:numId w:val="3"/>
        </w:numPr>
        <w:contextualSpacing/>
        <w:rPr>
          <w:rFonts w:asciiTheme="majorHAnsi" w:hAnsiTheme="majorHAnsi" w:cstheme="majorHAnsi"/>
          <w:sz w:val="22"/>
          <w:szCs w:val="22"/>
          <w:lang w:val="en-GB"/>
        </w:rPr>
      </w:pPr>
      <w:r w:rsidRPr="00B62DA0">
        <w:rPr>
          <w:rFonts w:asciiTheme="majorHAnsi" w:hAnsiTheme="majorHAnsi" w:cstheme="majorHAnsi"/>
          <w:sz w:val="22"/>
          <w:szCs w:val="22"/>
        </w:rPr>
        <w:t>Helmfrid, H., Haden, A.</w:t>
      </w:r>
      <w:r>
        <w:rPr>
          <w:rFonts w:asciiTheme="majorHAnsi" w:hAnsiTheme="majorHAnsi" w:cstheme="majorHAnsi"/>
          <w:sz w:val="22"/>
          <w:szCs w:val="22"/>
        </w:rPr>
        <w:t xml:space="preserve"> &amp; Ljung, M</w:t>
      </w:r>
      <w:r w:rsidRPr="00B62DA0">
        <w:rPr>
          <w:rFonts w:asciiTheme="majorHAnsi" w:hAnsiTheme="majorHAnsi" w:cstheme="majorHAnsi"/>
          <w:sz w:val="22"/>
          <w:szCs w:val="22"/>
        </w:rPr>
        <w:t xml:space="preserve">. </w:t>
      </w:r>
      <w:r>
        <w:rPr>
          <w:rFonts w:asciiTheme="majorHAnsi" w:hAnsiTheme="majorHAnsi" w:cstheme="majorHAnsi"/>
          <w:sz w:val="22"/>
          <w:szCs w:val="22"/>
        </w:rPr>
        <w:t>2008</w:t>
      </w:r>
      <w:r w:rsidRPr="00B62DA0">
        <w:rPr>
          <w:rFonts w:asciiTheme="majorHAnsi" w:hAnsiTheme="majorHAnsi" w:cstheme="majorHAnsi"/>
          <w:sz w:val="22"/>
          <w:szCs w:val="22"/>
        </w:rPr>
        <w:t xml:space="preserve">. </w:t>
      </w:r>
      <w:r w:rsidRPr="00E576F9">
        <w:rPr>
          <w:rFonts w:asciiTheme="majorHAnsi" w:hAnsiTheme="majorHAnsi" w:cstheme="majorHAnsi"/>
          <w:sz w:val="22"/>
          <w:szCs w:val="22"/>
          <w:lang w:val="en-US"/>
        </w:rPr>
        <w:t xml:space="preserve">The role of action research (AR) in environmental research: learning from a local organic food and farming research project. </w:t>
      </w:r>
      <w:r w:rsidRPr="00E576F9">
        <w:rPr>
          <w:rFonts w:asciiTheme="majorHAnsi" w:hAnsiTheme="majorHAnsi" w:cstheme="majorHAnsi"/>
          <w:i/>
          <w:iCs/>
          <w:sz w:val="22"/>
          <w:szCs w:val="22"/>
          <w:lang w:val="en-US"/>
        </w:rPr>
        <w:t>Systemic Practice and Action Research, 21</w:t>
      </w:r>
      <w:r w:rsidRPr="00E576F9">
        <w:rPr>
          <w:rFonts w:asciiTheme="majorHAnsi" w:hAnsiTheme="majorHAnsi" w:cstheme="majorHAnsi"/>
          <w:sz w:val="22"/>
          <w:szCs w:val="22"/>
          <w:lang w:val="en-US"/>
        </w:rPr>
        <w:t xml:space="preserve">(2), 105-131. </w:t>
      </w:r>
    </w:p>
    <w:p w:rsidR="009C4E16" w:rsidRPr="00E576F9" w:rsidRDefault="009C4E16" w:rsidP="008607A3">
      <w:pPr>
        <w:pStyle w:val="Default"/>
        <w:contextualSpacing/>
        <w:rPr>
          <w:rFonts w:asciiTheme="majorHAnsi" w:hAnsiTheme="majorHAnsi" w:cstheme="majorHAnsi"/>
          <w:sz w:val="22"/>
          <w:szCs w:val="22"/>
          <w:lang w:val="en-US"/>
        </w:rPr>
      </w:pPr>
    </w:p>
    <w:p w:rsidR="009C4E16" w:rsidRPr="009C4E16" w:rsidRDefault="009C4E16" w:rsidP="008607A3">
      <w:pPr>
        <w:pStyle w:val="Default"/>
        <w:numPr>
          <w:ilvl w:val="0"/>
          <w:numId w:val="3"/>
        </w:numPr>
        <w:contextualSpacing/>
        <w:rPr>
          <w:rFonts w:asciiTheme="majorHAnsi" w:hAnsiTheme="majorHAnsi" w:cstheme="majorHAnsi"/>
          <w:sz w:val="22"/>
          <w:szCs w:val="22"/>
          <w:lang w:val="en-US"/>
        </w:rPr>
      </w:pPr>
      <w:r w:rsidRPr="00B62DA0">
        <w:rPr>
          <w:rFonts w:asciiTheme="majorHAnsi" w:hAnsiTheme="majorHAnsi" w:cstheme="majorHAnsi"/>
          <w:sz w:val="22"/>
          <w:szCs w:val="22"/>
          <w:lang w:val="en-GB"/>
        </w:rPr>
        <w:t xml:space="preserve">Ison, R., Collins, K., Colvin, J., Jiggins, J., Roggero, P. P., Seddaiu, G., </w:t>
      </w:r>
      <w:r>
        <w:rPr>
          <w:rFonts w:asciiTheme="majorHAnsi" w:hAnsiTheme="majorHAnsi" w:cstheme="majorHAnsi"/>
          <w:sz w:val="22"/>
          <w:szCs w:val="22"/>
          <w:lang w:val="en-GB"/>
        </w:rPr>
        <w:t>&amp;</w:t>
      </w:r>
      <w:r w:rsidRPr="00B62DA0">
        <w:rPr>
          <w:rFonts w:asciiTheme="majorHAnsi" w:hAnsiTheme="majorHAnsi" w:cstheme="majorHAnsi"/>
          <w:sz w:val="22"/>
          <w:szCs w:val="22"/>
          <w:lang w:val="en-GB"/>
        </w:rPr>
        <w:t xml:space="preserve"> Zanolla, C. 2011. </w:t>
      </w:r>
      <w:r w:rsidRPr="00872DC1">
        <w:rPr>
          <w:rFonts w:asciiTheme="majorHAnsi" w:hAnsiTheme="majorHAnsi" w:cstheme="majorHAnsi"/>
          <w:sz w:val="22"/>
          <w:szCs w:val="22"/>
          <w:lang w:val="en-US"/>
        </w:rPr>
        <w:t xml:space="preserve">Sustainable catchment managing in a climate changing world: new integrative modalities for connecting policy makers, scientists and other stakeholders. </w:t>
      </w:r>
      <w:r w:rsidRPr="009C4E16">
        <w:rPr>
          <w:rFonts w:asciiTheme="majorHAnsi" w:hAnsiTheme="majorHAnsi" w:cstheme="majorHAnsi"/>
          <w:i/>
          <w:sz w:val="22"/>
          <w:szCs w:val="22"/>
          <w:lang w:val="en-US"/>
        </w:rPr>
        <w:t>Water resources management</w:t>
      </w:r>
      <w:r w:rsidRPr="009C4E16">
        <w:rPr>
          <w:rFonts w:asciiTheme="majorHAnsi" w:hAnsiTheme="majorHAnsi" w:cstheme="majorHAnsi"/>
          <w:sz w:val="22"/>
          <w:szCs w:val="22"/>
          <w:lang w:val="en-US"/>
        </w:rPr>
        <w:t>, 25(15), 3977-3992.</w:t>
      </w:r>
    </w:p>
    <w:p w:rsidR="009C4E16" w:rsidRPr="009C4E16" w:rsidRDefault="009C4E16" w:rsidP="008607A3">
      <w:pPr>
        <w:pStyle w:val="Default"/>
        <w:contextualSpacing/>
        <w:rPr>
          <w:rFonts w:asciiTheme="majorHAnsi" w:hAnsiTheme="majorHAnsi" w:cstheme="majorHAnsi"/>
          <w:sz w:val="22"/>
          <w:szCs w:val="22"/>
          <w:lang w:val="en-US"/>
        </w:rPr>
      </w:pPr>
    </w:p>
    <w:p w:rsidR="009C4E16" w:rsidRPr="00E576F9" w:rsidRDefault="009C4E16" w:rsidP="008607A3">
      <w:pPr>
        <w:pStyle w:val="Default"/>
        <w:numPr>
          <w:ilvl w:val="0"/>
          <w:numId w:val="3"/>
        </w:numPr>
        <w:contextualSpacing/>
        <w:rPr>
          <w:rFonts w:asciiTheme="majorHAnsi" w:hAnsiTheme="majorHAnsi" w:cstheme="majorHAnsi"/>
          <w:color w:val="0562C1"/>
          <w:sz w:val="22"/>
          <w:szCs w:val="22"/>
          <w:lang w:val="en-US"/>
        </w:rPr>
      </w:pPr>
      <w:r w:rsidRPr="00E576F9">
        <w:rPr>
          <w:rFonts w:asciiTheme="majorHAnsi" w:hAnsiTheme="majorHAnsi" w:cstheme="majorHAnsi"/>
          <w:sz w:val="22"/>
          <w:szCs w:val="22"/>
          <w:lang w:val="en-US"/>
        </w:rPr>
        <w:t xml:space="preserve">McCloskey, M. 1996. The skeptic: Collaboration has its limits. </w:t>
      </w:r>
      <w:r w:rsidRPr="00E576F9">
        <w:rPr>
          <w:rFonts w:asciiTheme="majorHAnsi" w:hAnsiTheme="majorHAnsi" w:cstheme="majorHAnsi"/>
          <w:i/>
          <w:iCs/>
          <w:sz w:val="22"/>
          <w:szCs w:val="22"/>
          <w:lang w:val="en-US"/>
        </w:rPr>
        <w:t>High Country News</w:t>
      </w:r>
      <w:r w:rsidRPr="00E576F9">
        <w:rPr>
          <w:rFonts w:asciiTheme="majorHAnsi" w:hAnsiTheme="majorHAnsi" w:cstheme="majorHAnsi"/>
          <w:sz w:val="22"/>
          <w:szCs w:val="22"/>
          <w:lang w:val="en-US"/>
        </w:rPr>
        <w:t xml:space="preserve">, May 13, 28:9 </w:t>
      </w:r>
      <w:hyperlink r:id="rId12" w:history="1">
        <w:r w:rsidRPr="00E576F9">
          <w:rPr>
            <w:rStyle w:val="Hyperlink"/>
            <w:rFonts w:asciiTheme="majorHAnsi" w:hAnsiTheme="majorHAnsi" w:cstheme="majorHAnsi"/>
            <w:sz w:val="22"/>
            <w:szCs w:val="22"/>
            <w:lang w:val="en-US"/>
          </w:rPr>
          <w:t>http://www.hcn.org/issues/59/1839</w:t>
        </w:r>
      </w:hyperlink>
      <w:r w:rsidRPr="00E576F9">
        <w:rPr>
          <w:rFonts w:asciiTheme="majorHAnsi" w:hAnsiTheme="majorHAnsi" w:cstheme="majorHAnsi"/>
          <w:color w:val="0562C1"/>
          <w:sz w:val="22"/>
          <w:szCs w:val="22"/>
          <w:lang w:val="en-US"/>
        </w:rPr>
        <w:t xml:space="preserve"> </w:t>
      </w:r>
    </w:p>
    <w:p w:rsidR="009C4E16" w:rsidRPr="00E576F9" w:rsidRDefault="009C4E16" w:rsidP="008607A3">
      <w:pPr>
        <w:pStyle w:val="Default"/>
        <w:contextualSpacing/>
        <w:rPr>
          <w:rFonts w:asciiTheme="majorHAnsi" w:hAnsiTheme="majorHAnsi" w:cstheme="majorHAnsi"/>
          <w:color w:val="0562C1"/>
          <w:sz w:val="22"/>
          <w:szCs w:val="22"/>
          <w:lang w:val="en-US"/>
        </w:rPr>
      </w:pPr>
    </w:p>
    <w:p w:rsidR="009C4E16" w:rsidRPr="00B62DA0" w:rsidRDefault="009C4E16" w:rsidP="008607A3">
      <w:pPr>
        <w:pStyle w:val="Default"/>
        <w:numPr>
          <w:ilvl w:val="0"/>
          <w:numId w:val="3"/>
        </w:numPr>
        <w:contextualSpacing/>
        <w:rPr>
          <w:rFonts w:asciiTheme="majorHAnsi" w:hAnsiTheme="majorHAnsi" w:cstheme="majorHAnsi"/>
          <w:sz w:val="22"/>
          <w:szCs w:val="22"/>
          <w:lang w:val="en-GB"/>
        </w:rPr>
      </w:pPr>
      <w:r w:rsidRPr="00E576F9">
        <w:rPr>
          <w:rFonts w:asciiTheme="majorHAnsi" w:hAnsiTheme="majorHAnsi" w:cstheme="majorHAnsi"/>
          <w:sz w:val="22"/>
          <w:szCs w:val="22"/>
          <w:lang w:val="en-US"/>
        </w:rPr>
        <w:t xml:space="preserve">* </w:t>
      </w:r>
      <w:r w:rsidRPr="00B62DA0">
        <w:rPr>
          <w:rFonts w:asciiTheme="majorHAnsi" w:hAnsiTheme="majorHAnsi" w:cstheme="majorHAnsi"/>
          <w:sz w:val="22"/>
          <w:szCs w:val="22"/>
          <w:lang w:val="en-GB"/>
        </w:rPr>
        <w:t xml:space="preserve">Pinto-Correia, T </w:t>
      </w:r>
      <w:r>
        <w:rPr>
          <w:rFonts w:asciiTheme="majorHAnsi" w:hAnsiTheme="majorHAnsi" w:cstheme="majorHAnsi"/>
          <w:sz w:val="22"/>
          <w:szCs w:val="22"/>
          <w:lang w:val="en-GB"/>
        </w:rPr>
        <w:t>&amp;</w:t>
      </w:r>
      <w:r w:rsidRPr="00B62DA0">
        <w:rPr>
          <w:rFonts w:asciiTheme="majorHAnsi" w:hAnsiTheme="majorHAnsi" w:cstheme="majorHAnsi"/>
          <w:sz w:val="22"/>
          <w:szCs w:val="22"/>
          <w:lang w:val="en-GB"/>
        </w:rPr>
        <w:t xml:space="preserve"> Kristensen, L. 2013. </w:t>
      </w:r>
      <w:r w:rsidRPr="009C4E16">
        <w:rPr>
          <w:rFonts w:asciiTheme="majorHAnsi" w:hAnsiTheme="majorHAnsi" w:cstheme="majorHAnsi"/>
          <w:sz w:val="22"/>
          <w:szCs w:val="22"/>
          <w:lang w:val="en-US"/>
        </w:rPr>
        <w:t xml:space="preserve">Linking research to practice: The landscape as the basis for integrating social and ecological perspectives of the rural. </w:t>
      </w:r>
      <w:r w:rsidRPr="009C4E16">
        <w:rPr>
          <w:rFonts w:asciiTheme="majorHAnsi" w:hAnsiTheme="majorHAnsi" w:cstheme="majorHAnsi"/>
          <w:i/>
          <w:sz w:val="22"/>
          <w:szCs w:val="22"/>
          <w:lang w:val="en-US"/>
        </w:rPr>
        <w:t>Landscape and Urban Planning</w:t>
      </w:r>
      <w:r w:rsidRPr="009C4E16">
        <w:rPr>
          <w:rFonts w:asciiTheme="majorHAnsi" w:hAnsiTheme="majorHAnsi" w:cstheme="majorHAnsi"/>
          <w:sz w:val="22"/>
          <w:szCs w:val="22"/>
          <w:lang w:val="en-US"/>
        </w:rPr>
        <w:t xml:space="preserve"> 120, 248–256.</w:t>
      </w:r>
    </w:p>
    <w:p w:rsidR="009C4E16" w:rsidRPr="00B62DA0" w:rsidRDefault="009C4E16" w:rsidP="008607A3">
      <w:pPr>
        <w:pStyle w:val="Default"/>
        <w:contextualSpacing/>
        <w:rPr>
          <w:rFonts w:asciiTheme="majorHAnsi" w:hAnsiTheme="majorHAnsi" w:cstheme="majorHAnsi"/>
          <w:sz w:val="22"/>
          <w:szCs w:val="22"/>
          <w:lang w:val="en-GB"/>
        </w:rPr>
      </w:pPr>
    </w:p>
    <w:p w:rsidR="009C4E16" w:rsidRPr="00B62DA0" w:rsidRDefault="009C4E16" w:rsidP="008607A3">
      <w:pPr>
        <w:pStyle w:val="Default"/>
        <w:numPr>
          <w:ilvl w:val="0"/>
          <w:numId w:val="3"/>
        </w:numPr>
        <w:contextualSpacing/>
        <w:rPr>
          <w:rFonts w:asciiTheme="majorHAnsi" w:hAnsiTheme="majorHAnsi" w:cstheme="majorHAnsi"/>
          <w:sz w:val="22"/>
          <w:szCs w:val="22"/>
          <w:lang w:val="en-GB"/>
        </w:rPr>
      </w:pPr>
      <w:r w:rsidRPr="00E576F9">
        <w:rPr>
          <w:rFonts w:asciiTheme="majorHAnsi" w:hAnsiTheme="majorHAnsi" w:cstheme="majorHAnsi"/>
          <w:sz w:val="22"/>
          <w:szCs w:val="22"/>
          <w:lang w:val="en-US"/>
        </w:rPr>
        <w:t xml:space="preserve">* </w:t>
      </w:r>
      <w:r w:rsidRPr="00B62DA0">
        <w:rPr>
          <w:rFonts w:asciiTheme="majorHAnsi" w:hAnsiTheme="majorHAnsi" w:cstheme="majorHAnsi"/>
          <w:sz w:val="22"/>
          <w:szCs w:val="22"/>
          <w:lang w:val="en-GB"/>
        </w:rPr>
        <w:t xml:space="preserve">van Bommel, S., Röling, N., Aarts, N., </w:t>
      </w:r>
      <w:r>
        <w:rPr>
          <w:rFonts w:asciiTheme="majorHAnsi" w:hAnsiTheme="majorHAnsi" w:cstheme="majorHAnsi"/>
          <w:sz w:val="22"/>
          <w:szCs w:val="22"/>
          <w:lang w:val="en-GB"/>
        </w:rPr>
        <w:t>&amp;</w:t>
      </w:r>
      <w:r w:rsidRPr="00B62DA0">
        <w:rPr>
          <w:rFonts w:asciiTheme="majorHAnsi" w:hAnsiTheme="majorHAnsi" w:cstheme="majorHAnsi"/>
          <w:sz w:val="22"/>
          <w:szCs w:val="22"/>
          <w:lang w:val="en-GB"/>
        </w:rPr>
        <w:t xml:space="preserve"> Turnhout, E. 2009. Social Learning for Solving Complex Problems: a Promising Solution or Wishful Thinking? A Case Study of Multi-Actor Negotiation for the Integrated Management and Sustainable Use of the Drentsche Aa Area in the Netherlands. </w:t>
      </w:r>
      <w:r w:rsidRPr="00B62DA0">
        <w:rPr>
          <w:rFonts w:asciiTheme="majorHAnsi" w:hAnsiTheme="majorHAnsi" w:cstheme="majorHAnsi"/>
          <w:i/>
          <w:sz w:val="22"/>
          <w:szCs w:val="22"/>
          <w:lang w:val="en-GB"/>
        </w:rPr>
        <w:t>Environmental Policy and Governance</w:t>
      </w:r>
      <w:r w:rsidRPr="00B62DA0">
        <w:rPr>
          <w:rFonts w:asciiTheme="majorHAnsi" w:hAnsiTheme="majorHAnsi" w:cstheme="majorHAnsi"/>
          <w:sz w:val="22"/>
          <w:szCs w:val="22"/>
          <w:lang w:val="en-GB"/>
        </w:rPr>
        <w:t>, 19, 400–412.</w:t>
      </w:r>
    </w:p>
    <w:p w:rsidR="00E576F9" w:rsidRDefault="00E576F9" w:rsidP="008607A3">
      <w:pPr>
        <w:pStyle w:val="Default"/>
        <w:contextualSpacing/>
        <w:rPr>
          <w:rFonts w:asciiTheme="majorHAnsi" w:hAnsiTheme="majorHAnsi" w:cstheme="majorHAnsi"/>
          <w:sz w:val="22"/>
          <w:szCs w:val="22"/>
          <w:lang w:val="en-US"/>
        </w:rPr>
      </w:pPr>
    </w:p>
    <w:p w:rsidR="00E576F9" w:rsidRPr="00E576F9" w:rsidRDefault="00E576F9" w:rsidP="008607A3">
      <w:pPr>
        <w:contextualSpacing/>
        <w:rPr>
          <w:rFonts w:asciiTheme="majorHAnsi" w:hAnsiTheme="majorHAnsi" w:cstheme="majorHAnsi"/>
          <w:color w:val="000000"/>
          <w:lang w:val="en-US"/>
        </w:rPr>
      </w:pPr>
      <w:r w:rsidRPr="00E576F9">
        <w:rPr>
          <w:rFonts w:asciiTheme="majorHAnsi" w:hAnsiTheme="majorHAnsi" w:cstheme="majorHAnsi"/>
          <w:lang w:val="en-US"/>
        </w:rPr>
        <w:br w:type="page"/>
      </w:r>
    </w:p>
    <w:p w:rsidR="001D6269" w:rsidRPr="001D6269" w:rsidRDefault="00DD2ABF" w:rsidP="008607A3">
      <w:pPr>
        <w:pStyle w:val="Heading1"/>
        <w:ind w:left="720"/>
        <w:contextualSpacing/>
      </w:pPr>
      <w:r>
        <w:lastRenderedPageBreak/>
        <w:t xml:space="preserve">Additional reading </w:t>
      </w:r>
    </w:p>
    <w:p w:rsidR="001D6269" w:rsidRPr="001D6269" w:rsidRDefault="001D6269" w:rsidP="008607A3">
      <w:pPr>
        <w:pStyle w:val="Heading2"/>
        <w:ind w:left="720"/>
        <w:contextualSpacing/>
        <w:rPr>
          <w:lang w:val="en-US"/>
        </w:rPr>
      </w:pPr>
      <w:r>
        <w:rPr>
          <w:lang w:val="en-US"/>
        </w:rPr>
        <w:t>Systems Thinking</w:t>
      </w:r>
    </w:p>
    <w:p w:rsidR="001D6269" w:rsidRPr="00E31BDA" w:rsidRDefault="001D6269" w:rsidP="008607A3">
      <w:pPr>
        <w:pStyle w:val="Default"/>
        <w:numPr>
          <w:ilvl w:val="0"/>
          <w:numId w:val="4"/>
        </w:numPr>
        <w:contextualSpacing/>
        <w:rPr>
          <w:lang w:val="en-US"/>
        </w:rPr>
      </w:pPr>
      <w:r>
        <w:rPr>
          <w:rFonts w:asciiTheme="majorHAnsi" w:hAnsiTheme="majorHAnsi" w:cstheme="majorHAnsi"/>
          <w:sz w:val="22"/>
          <w:szCs w:val="22"/>
          <w:lang w:val="en-US"/>
        </w:rPr>
        <w:t xml:space="preserve">Checkland, P.B. 2000. ‘Soft Systems Methodology: a thirty-year retrospective’. </w:t>
      </w:r>
      <w:r>
        <w:rPr>
          <w:rFonts w:asciiTheme="majorHAnsi" w:hAnsiTheme="majorHAnsi" w:cstheme="majorHAnsi"/>
          <w:i/>
          <w:iCs/>
          <w:sz w:val="22"/>
          <w:szCs w:val="22"/>
          <w:lang w:val="en-US"/>
        </w:rPr>
        <w:t>Systems Research and Behavioural Science</w:t>
      </w:r>
      <w:r>
        <w:rPr>
          <w:rFonts w:asciiTheme="majorHAnsi" w:hAnsiTheme="majorHAnsi" w:cstheme="majorHAnsi"/>
          <w:sz w:val="22"/>
          <w:szCs w:val="22"/>
          <w:lang w:val="en-US"/>
        </w:rPr>
        <w:t xml:space="preserve">, 17:11-58. </w:t>
      </w:r>
    </w:p>
    <w:p w:rsidR="001D6269" w:rsidRDefault="001D6269" w:rsidP="008607A3">
      <w:pPr>
        <w:pStyle w:val="Default"/>
        <w:contextualSpacing/>
        <w:rPr>
          <w:rFonts w:asciiTheme="majorHAnsi" w:hAnsiTheme="majorHAnsi" w:cstheme="majorHAnsi"/>
          <w:sz w:val="22"/>
          <w:szCs w:val="22"/>
          <w:lang w:val="en-US"/>
        </w:rPr>
      </w:pPr>
    </w:p>
    <w:p w:rsidR="001D6269" w:rsidRPr="00E31BDA" w:rsidRDefault="001D6269" w:rsidP="008607A3">
      <w:pPr>
        <w:pStyle w:val="Default"/>
        <w:numPr>
          <w:ilvl w:val="0"/>
          <w:numId w:val="4"/>
        </w:numPr>
        <w:contextualSpacing/>
        <w:rPr>
          <w:lang w:val="en-US"/>
        </w:rPr>
      </w:pPr>
      <w:r>
        <w:rPr>
          <w:rFonts w:asciiTheme="majorHAnsi" w:hAnsiTheme="majorHAnsi" w:cstheme="majorHAnsi"/>
          <w:sz w:val="22"/>
          <w:szCs w:val="22"/>
          <w:lang w:val="en-US"/>
        </w:rPr>
        <w:t>Clark, W.C., van Kerkhoff L., Louis Lebel, L and Gallopin, G. (2016) Crafting usable knowledge for sustainable development. PNAS, 113(17):4570–4578</w:t>
      </w:r>
    </w:p>
    <w:p w:rsidR="001D6269" w:rsidRDefault="001D6269" w:rsidP="008607A3">
      <w:pPr>
        <w:pStyle w:val="Default"/>
        <w:contextualSpacing/>
        <w:rPr>
          <w:rFonts w:asciiTheme="majorHAnsi" w:hAnsiTheme="majorHAnsi" w:cstheme="majorHAnsi"/>
          <w:sz w:val="22"/>
          <w:szCs w:val="22"/>
          <w:lang w:val="en-US"/>
        </w:rPr>
      </w:pPr>
    </w:p>
    <w:p w:rsidR="001D6269" w:rsidRDefault="001D6269" w:rsidP="008607A3">
      <w:pPr>
        <w:pStyle w:val="Default"/>
        <w:numPr>
          <w:ilvl w:val="0"/>
          <w:numId w:val="4"/>
        </w:numPr>
        <w:contextualSpacing/>
        <w:rPr>
          <w:rFonts w:ascii="Calibri Light" w:hAnsi="Calibri Light" w:cs="Calibri Light"/>
          <w:sz w:val="22"/>
          <w:szCs w:val="22"/>
          <w:lang w:val="en-US"/>
        </w:rPr>
      </w:pPr>
      <w:r>
        <w:rPr>
          <w:rFonts w:ascii="Calibri Light" w:hAnsi="Calibri Light" w:cs="Calibri Light"/>
          <w:sz w:val="22"/>
          <w:szCs w:val="22"/>
          <w:lang w:val="en-US"/>
        </w:rPr>
        <w:t xml:space="preserve">Eksvärd, K. (2009) </w:t>
      </w:r>
      <w:r>
        <w:rPr>
          <w:rFonts w:ascii="Calibri Light" w:hAnsi="Calibri Light" w:cs="Calibri Light"/>
          <w:i/>
          <w:iCs/>
          <w:sz w:val="22"/>
          <w:szCs w:val="22"/>
          <w:lang w:val="en-US"/>
        </w:rPr>
        <w:t>Exploring New Ways – Systemic Research Transition for Agricultural Sustainability</w:t>
      </w:r>
      <w:r>
        <w:rPr>
          <w:rFonts w:ascii="Calibri Light" w:hAnsi="Calibri Light" w:cs="Calibri Light"/>
          <w:sz w:val="22"/>
          <w:szCs w:val="22"/>
          <w:lang w:val="en-US"/>
        </w:rPr>
        <w:t>. Doctoral Thesis No. 2009:44. Swedish University of Agricultural Sciences, SLU. (Section 5.3.)</w:t>
      </w:r>
    </w:p>
    <w:p w:rsidR="001D6269" w:rsidRDefault="001D6269" w:rsidP="008607A3">
      <w:pPr>
        <w:pStyle w:val="Default"/>
        <w:contextualSpacing/>
        <w:rPr>
          <w:rFonts w:ascii="Calibri Light" w:hAnsi="Calibri Light" w:cs="Calibri Light"/>
          <w:sz w:val="22"/>
          <w:szCs w:val="22"/>
          <w:lang w:val="en-US"/>
        </w:rPr>
      </w:pPr>
    </w:p>
    <w:p w:rsidR="001D6269" w:rsidRPr="00E31BDA" w:rsidRDefault="001D6269" w:rsidP="008607A3">
      <w:pPr>
        <w:pStyle w:val="Default"/>
        <w:numPr>
          <w:ilvl w:val="0"/>
          <w:numId w:val="4"/>
        </w:numPr>
        <w:contextualSpacing/>
        <w:rPr>
          <w:lang w:val="en-US"/>
        </w:rPr>
      </w:pPr>
      <w:r>
        <w:rPr>
          <w:rFonts w:asciiTheme="majorHAnsi" w:hAnsiTheme="majorHAnsi" w:cstheme="majorHAnsi"/>
          <w:sz w:val="22"/>
          <w:szCs w:val="22"/>
          <w:lang w:val="en-US"/>
        </w:rPr>
        <w:t xml:space="preserve">Senge, P.M. (1990, 2006). </w:t>
      </w:r>
      <w:r>
        <w:rPr>
          <w:rFonts w:asciiTheme="majorHAnsi" w:hAnsiTheme="majorHAnsi" w:cstheme="majorHAnsi"/>
          <w:i/>
          <w:iCs/>
          <w:sz w:val="22"/>
          <w:szCs w:val="22"/>
          <w:lang w:val="en-US"/>
        </w:rPr>
        <w:t>The Fifth Discipline: the art and practice of the learning organization</w:t>
      </w:r>
      <w:r>
        <w:rPr>
          <w:rFonts w:asciiTheme="majorHAnsi" w:hAnsiTheme="majorHAnsi" w:cstheme="majorHAnsi"/>
          <w:sz w:val="22"/>
          <w:szCs w:val="22"/>
          <w:lang w:val="en-US"/>
        </w:rPr>
        <w:t xml:space="preserve">. Random House, London </w:t>
      </w:r>
    </w:p>
    <w:p w:rsidR="001D6269" w:rsidRDefault="001D6269" w:rsidP="008607A3">
      <w:pPr>
        <w:pStyle w:val="Default"/>
        <w:contextualSpacing/>
        <w:rPr>
          <w:rFonts w:asciiTheme="majorHAnsi" w:hAnsiTheme="majorHAnsi" w:cstheme="majorHAnsi"/>
          <w:sz w:val="22"/>
          <w:szCs w:val="22"/>
          <w:lang w:val="en-US"/>
        </w:rPr>
      </w:pPr>
    </w:p>
    <w:p w:rsidR="001D6269" w:rsidRPr="00E31BDA" w:rsidRDefault="001D6269" w:rsidP="008607A3">
      <w:pPr>
        <w:pStyle w:val="Default"/>
        <w:numPr>
          <w:ilvl w:val="0"/>
          <w:numId w:val="4"/>
        </w:numPr>
        <w:contextualSpacing/>
        <w:rPr>
          <w:lang w:val="en-US"/>
        </w:rPr>
      </w:pPr>
      <w:r>
        <w:rPr>
          <w:rFonts w:asciiTheme="majorHAnsi" w:hAnsiTheme="majorHAnsi" w:cstheme="majorHAnsi"/>
          <w:sz w:val="22"/>
          <w:szCs w:val="22"/>
          <w:lang w:val="en-US"/>
        </w:rPr>
        <w:t xml:space="preserve">Sterman, J.D. (2002). All models are wrong: reflections on becoming a systems scientist. </w:t>
      </w:r>
      <w:r>
        <w:rPr>
          <w:rFonts w:asciiTheme="majorHAnsi" w:hAnsiTheme="majorHAnsi" w:cstheme="majorHAnsi"/>
          <w:i/>
          <w:iCs/>
          <w:sz w:val="22"/>
          <w:szCs w:val="22"/>
          <w:lang w:val="en-US"/>
        </w:rPr>
        <w:t xml:space="preserve">System Dynamics Review, </w:t>
      </w:r>
      <w:r>
        <w:rPr>
          <w:rFonts w:asciiTheme="majorHAnsi" w:hAnsiTheme="majorHAnsi" w:cstheme="majorHAnsi"/>
          <w:sz w:val="22"/>
          <w:szCs w:val="22"/>
          <w:lang w:val="en-US"/>
        </w:rPr>
        <w:t xml:space="preserve">4, 501-531 </w:t>
      </w:r>
    </w:p>
    <w:p w:rsidR="001D6269" w:rsidRDefault="001D6269" w:rsidP="008607A3">
      <w:pPr>
        <w:pStyle w:val="Default"/>
        <w:contextualSpacing/>
        <w:rPr>
          <w:rFonts w:asciiTheme="majorHAnsi" w:hAnsiTheme="majorHAnsi" w:cstheme="majorHAnsi"/>
          <w:sz w:val="22"/>
          <w:szCs w:val="22"/>
          <w:lang w:val="en-US"/>
        </w:rPr>
      </w:pPr>
    </w:p>
    <w:p w:rsidR="001D6269" w:rsidRDefault="001D6269" w:rsidP="008607A3">
      <w:pPr>
        <w:pStyle w:val="Default"/>
        <w:numPr>
          <w:ilvl w:val="0"/>
          <w:numId w:val="4"/>
        </w:numPr>
        <w:contextualSpacing/>
        <w:rPr>
          <w:rStyle w:val="InternetLink"/>
          <w:rFonts w:asciiTheme="majorHAnsi" w:hAnsiTheme="majorHAnsi" w:cstheme="majorHAnsi"/>
          <w:sz w:val="22"/>
          <w:szCs w:val="22"/>
          <w:lang w:val="en-US"/>
        </w:rPr>
      </w:pPr>
      <w:r>
        <w:rPr>
          <w:rFonts w:asciiTheme="majorHAnsi" w:hAnsiTheme="majorHAnsi" w:cstheme="majorHAnsi"/>
          <w:sz w:val="22"/>
          <w:szCs w:val="22"/>
          <w:lang w:val="en-US"/>
        </w:rPr>
        <w:t>Stockholm Resilience Centre (SRC) (2014) Applying Resilience Thinking; seven principles for building resilience in social-ecological systems</w:t>
      </w:r>
      <w:r>
        <w:rPr>
          <w:rFonts w:asciiTheme="majorHAnsi" w:hAnsiTheme="majorHAnsi" w:cstheme="majorHAnsi"/>
          <w:sz w:val="22"/>
          <w:szCs w:val="22"/>
          <w:lang w:val="en-US"/>
        </w:rPr>
        <w:br/>
      </w:r>
      <w:hyperlink r:id="rId13">
        <w:r>
          <w:rPr>
            <w:rStyle w:val="InternetLink"/>
            <w:rFonts w:asciiTheme="majorHAnsi" w:hAnsiTheme="majorHAnsi" w:cstheme="majorHAnsi"/>
            <w:sz w:val="22"/>
            <w:szCs w:val="22"/>
            <w:lang w:val="en-US"/>
          </w:rPr>
          <w:t>https://stockholmresilience.org/download/18.10119fc11455d3c557d6928/1459560241272/SRC+Applying+Resilience+final.pdf</w:t>
        </w:r>
      </w:hyperlink>
    </w:p>
    <w:p w:rsidR="001D6269" w:rsidRPr="001D6269" w:rsidRDefault="001D6269" w:rsidP="008607A3">
      <w:pPr>
        <w:pStyle w:val="Default"/>
        <w:contextualSpacing/>
        <w:rPr>
          <w:lang w:val="en-US"/>
        </w:rPr>
      </w:pPr>
    </w:p>
    <w:p w:rsidR="001D6269" w:rsidRPr="001D6269" w:rsidRDefault="001D6269" w:rsidP="008607A3">
      <w:pPr>
        <w:pStyle w:val="Heading2"/>
        <w:ind w:firstLine="720"/>
        <w:contextualSpacing/>
        <w:rPr>
          <w:lang w:val="en-US"/>
        </w:rPr>
      </w:pPr>
      <w:r>
        <w:rPr>
          <w:lang w:val="en-US"/>
        </w:rPr>
        <w:t>The Transition Process</w:t>
      </w:r>
    </w:p>
    <w:p w:rsidR="00541131" w:rsidRPr="00DD2ABF" w:rsidRDefault="00541131" w:rsidP="008607A3">
      <w:pPr>
        <w:pStyle w:val="Default"/>
        <w:numPr>
          <w:ilvl w:val="0"/>
          <w:numId w:val="5"/>
        </w:numPr>
        <w:contextualSpacing/>
        <w:rPr>
          <w:rFonts w:asciiTheme="majorHAnsi" w:hAnsiTheme="majorHAnsi" w:cstheme="majorHAnsi"/>
          <w:sz w:val="22"/>
          <w:szCs w:val="22"/>
          <w:lang w:val="en-US"/>
        </w:rPr>
      </w:pPr>
      <w:r w:rsidRPr="00E576F9">
        <w:rPr>
          <w:rFonts w:asciiTheme="majorHAnsi" w:hAnsiTheme="majorHAnsi" w:cstheme="majorHAnsi"/>
          <w:sz w:val="22"/>
          <w:szCs w:val="22"/>
          <w:lang w:val="en-US"/>
        </w:rPr>
        <w:t xml:space="preserve">Padel, S. (2001). Conversion to Organic Farming: A Typical Example of the Diffusion of an Innovation? </w:t>
      </w:r>
      <w:r w:rsidRPr="00E576F9">
        <w:rPr>
          <w:rFonts w:asciiTheme="majorHAnsi" w:hAnsiTheme="majorHAnsi" w:cstheme="majorHAnsi"/>
          <w:i/>
          <w:iCs/>
          <w:sz w:val="22"/>
          <w:szCs w:val="22"/>
          <w:lang w:val="en-US"/>
        </w:rPr>
        <w:t xml:space="preserve">Sociologia Ruralis </w:t>
      </w:r>
      <w:r w:rsidRPr="00E576F9">
        <w:rPr>
          <w:rFonts w:asciiTheme="majorHAnsi" w:hAnsiTheme="majorHAnsi" w:cstheme="majorHAnsi"/>
          <w:sz w:val="22"/>
          <w:szCs w:val="22"/>
          <w:lang w:val="en-US"/>
        </w:rPr>
        <w:t xml:space="preserve">41(1), 40-61 </w:t>
      </w:r>
      <w:hyperlink r:id="rId14" w:history="1">
        <w:r w:rsidR="00E576F9" w:rsidRPr="00515023">
          <w:rPr>
            <w:rStyle w:val="Hyperlink"/>
            <w:rFonts w:asciiTheme="majorHAnsi" w:hAnsiTheme="majorHAnsi" w:cstheme="majorHAnsi"/>
            <w:sz w:val="22"/>
            <w:szCs w:val="22"/>
            <w:lang w:val="en-US"/>
          </w:rPr>
          <w:t>http://onlinelibrary.wiley.com/doi/10.1111/1467-9523.00169/abstract</w:t>
        </w:r>
      </w:hyperlink>
      <w:r w:rsidRPr="00E576F9">
        <w:rPr>
          <w:rFonts w:asciiTheme="majorHAnsi" w:hAnsiTheme="majorHAnsi" w:cstheme="majorHAnsi"/>
          <w:color w:val="0562C1"/>
          <w:sz w:val="22"/>
          <w:szCs w:val="22"/>
          <w:lang w:val="en-US"/>
        </w:rPr>
        <w:t xml:space="preserve"> </w:t>
      </w:r>
    </w:p>
    <w:p w:rsidR="00237488" w:rsidRDefault="00237488" w:rsidP="008607A3">
      <w:pPr>
        <w:pStyle w:val="Default"/>
        <w:contextualSpacing/>
        <w:rPr>
          <w:rFonts w:asciiTheme="majorHAnsi" w:hAnsiTheme="majorHAnsi" w:cstheme="majorHAnsi"/>
          <w:sz w:val="22"/>
          <w:szCs w:val="22"/>
          <w:lang w:val="en-US"/>
        </w:rPr>
      </w:pPr>
    </w:p>
    <w:p w:rsidR="00541131" w:rsidRPr="00786EF3" w:rsidRDefault="00541131" w:rsidP="008607A3">
      <w:pPr>
        <w:pStyle w:val="Default"/>
        <w:numPr>
          <w:ilvl w:val="0"/>
          <w:numId w:val="5"/>
        </w:numPr>
        <w:contextualSpacing/>
        <w:rPr>
          <w:rFonts w:asciiTheme="majorHAnsi" w:hAnsiTheme="majorHAnsi" w:cstheme="majorHAnsi"/>
          <w:color w:val="0562C1"/>
          <w:sz w:val="22"/>
          <w:szCs w:val="22"/>
          <w:lang w:val="en-US"/>
        </w:rPr>
      </w:pPr>
      <w:r w:rsidRPr="00786EF3">
        <w:rPr>
          <w:rFonts w:asciiTheme="majorHAnsi" w:hAnsiTheme="majorHAnsi" w:cstheme="majorHAnsi"/>
          <w:sz w:val="22"/>
          <w:szCs w:val="22"/>
          <w:lang w:val="en-US"/>
        </w:rPr>
        <w:t xml:space="preserve">Padel, S. (2002) </w:t>
      </w:r>
      <w:r w:rsidRPr="00786EF3">
        <w:rPr>
          <w:rFonts w:asciiTheme="majorHAnsi" w:hAnsiTheme="majorHAnsi" w:cstheme="majorHAnsi"/>
          <w:i/>
          <w:iCs/>
          <w:sz w:val="22"/>
          <w:szCs w:val="22"/>
          <w:lang w:val="en-US"/>
        </w:rPr>
        <w:t>Conversion to Organic Milk Production: the change process and farmers' information needs</w:t>
      </w:r>
      <w:r w:rsidRPr="00786EF3">
        <w:rPr>
          <w:rFonts w:asciiTheme="majorHAnsi" w:hAnsiTheme="majorHAnsi" w:cstheme="majorHAnsi"/>
          <w:sz w:val="22"/>
          <w:szCs w:val="22"/>
          <w:lang w:val="en-US"/>
        </w:rPr>
        <w:t xml:space="preserve">. Thesis, University of Wales, Aberystwyth, Institute of Rural Studies. </w:t>
      </w:r>
      <w:hyperlink r:id="rId15" w:history="1">
        <w:r w:rsidR="005C2AAB" w:rsidRPr="00786EF3">
          <w:rPr>
            <w:rStyle w:val="Hyperlink"/>
            <w:rFonts w:asciiTheme="majorHAnsi" w:hAnsiTheme="majorHAnsi" w:cstheme="majorHAnsi"/>
            <w:sz w:val="22"/>
            <w:szCs w:val="22"/>
            <w:lang w:val="en-US"/>
          </w:rPr>
          <w:t>http://orgprints.org/3977/</w:t>
        </w:r>
      </w:hyperlink>
      <w:r w:rsidRPr="00786EF3">
        <w:rPr>
          <w:rFonts w:asciiTheme="majorHAnsi" w:hAnsiTheme="majorHAnsi" w:cstheme="majorHAnsi"/>
          <w:color w:val="0562C1"/>
          <w:sz w:val="22"/>
          <w:szCs w:val="22"/>
          <w:lang w:val="en-US"/>
        </w:rPr>
        <w:t xml:space="preserve"> </w:t>
      </w:r>
    </w:p>
    <w:p w:rsidR="00DD2ABF" w:rsidRDefault="00DD2ABF" w:rsidP="008607A3">
      <w:pPr>
        <w:pStyle w:val="Default"/>
        <w:contextualSpacing/>
        <w:rPr>
          <w:rFonts w:asciiTheme="majorHAnsi" w:hAnsiTheme="majorHAnsi" w:cstheme="majorHAnsi"/>
          <w:i/>
          <w:color w:val="auto"/>
          <w:sz w:val="22"/>
          <w:szCs w:val="22"/>
          <w:lang w:val="en-US"/>
        </w:rPr>
      </w:pPr>
    </w:p>
    <w:p w:rsidR="00DD2ABF" w:rsidRPr="00E31BDA" w:rsidRDefault="00DD2ABF" w:rsidP="008607A3">
      <w:pPr>
        <w:pStyle w:val="Default"/>
        <w:numPr>
          <w:ilvl w:val="0"/>
          <w:numId w:val="5"/>
        </w:numPr>
        <w:contextualSpacing/>
        <w:rPr>
          <w:lang w:val="en-US"/>
        </w:rPr>
      </w:pPr>
      <w:r>
        <w:rPr>
          <w:rFonts w:asciiTheme="majorHAnsi" w:hAnsiTheme="majorHAnsi" w:cstheme="majorHAnsi"/>
          <w:sz w:val="22"/>
          <w:szCs w:val="22"/>
          <w:lang w:val="en-US"/>
        </w:rPr>
        <w:t xml:space="preserve">Beddoe, R., Costanza, R., Farley, J., Garza, E., Kent, J., Kubiszewski, I., Martinez, L., McCowen, T., Murpha, K., Myers, N., Ogden, Z., Stapleton, K., Woodward, J. (2009) Overcoming systemic roadblocks to sustainability: The evolutionary redesign of worldviews, institutions, and technologies. </w:t>
      </w:r>
      <w:r>
        <w:rPr>
          <w:rFonts w:asciiTheme="majorHAnsi" w:hAnsiTheme="majorHAnsi" w:cstheme="majorHAnsi"/>
          <w:i/>
          <w:iCs/>
          <w:sz w:val="22"/>
          <w:szCs w:val="22"/>
          <w:lang w:val="en-US"/>
        </w:rPr>
        <w:t>PNAS</w:t>
      </w:r>
      <w:r>
        <w:rPr>
          <w:rFonts w:asciiTheme="majorHAnsi" w:hAnsiTheme="majorHAnsi" w:cstheme="majorHAnsi"/>
          <w:sz w:val="22"/>
          <w:szCs w:val="22"/>
          <w:lang w:val="en-US"/>
        </w:rPr>
        <w:t xml:space="preserve">, 106 (8) 2483 – 2489. </w:t>
      </w:r>
    </w:p>
    <w:p w:rsidR="00DD2ABF" w:rsidRDefault="00DD2ABF" w:rsidP="008607A3">
      <w:pPr>
        <w:pStyle w:val="Default"/>
        <w:contextualSpacing/>
        <w:rPr>
          <w:rFonts w:asciiTheme="majorHAnsi" w:hAnsiTheme="majorHAnsi" w:cstheme="majorHAnsi"/>
          <w:sz w:val="22"/>
          <w:szCs w:val="22"/>
          <w:lang w:val="en-US"/>
        </w:rPr>
      </w:pPr>
    </w:p>
    <w:p w:rsidR="00DD2ABF" w:rsidRPr="00E31BDA" w:rsidRDefault="00DD2ABF" w:rsidP="008607A3">
      <w:pPr>
        <w:pStyle w:val="Default"/>
        <w:numPr>
          <w:ilvl w:val="0"/>
          <w:numId w:val="5"/>
        </w:numPr>
        <w:contextualSpacing/>
        <w:rPr>
          <w:lang w:val="en-US"/>
        </w:rPr>
      </w:pPr>
      <w:r>
        <w:rPr>
          <w:rFonts w:asciiTheme="majorHAnsi" w:hAnsiTheme="majorHAnsi" w:cstheme="majorHAnsi"/>
          <w:sz w:val="22"/>
          <w:szCs w:val="22"/>
          <w:lang w:val="en-US"/>
        </w:rPr>
        <w:t>Bergez, J.E., Audouin, E. Therond, O. (eds.) (2019) Agroecological Transitions: From Theory to Practice in Local Participatory Design, Springer</w:t>
      </w:r>
      <w:r>
        <w:rPr>
          <w:rFonts w:asciiTheme="majorHAnsi" w:hAnsiTheme="majorHAnsi" w:cstheme="majorHAnsi"/>
          <w:sz w:val="22"/>
          <w:szCs w:val="22"/>
          <w:lang w:val="en-US"/>
        </w:rPr>
        <w:br/>
        <w:t xml:space="preserve">Chapter by Prost, L., Chizallet, M., Taverne, M. and Barcellini, F. </w:t>
      </w:r>
      <w:r>
        <w:rPr>
          <w:rFonts w:asciiTheme="majorHAnsi" w:hAnsiTheme="majorHAnsi" w:cstheme="majorHAnsi"/>
          <w:i/>
          <w:iCs/>
          <w:sz w:val="22"/>
          <w:szCs w:val="22"/>
          <w:lang w:val="en-US"/>
        </w:rPr>
        <w:t>Towards a Reflective Approach to Research Project Managemen</w:t>
      </w:r>
      <w:r>
        <w:rPr>
          <w:rFonts w:asciiTheme="majorHAnsi" w:hAnsiTheme="majorHAnsi" w:cstheme="majorHAnsi"/>
          <w:sz w:val="22"/>
          <w:szCs w:val="22"/>
          <w:lang w:val="en-US"/>
        </w:rPr>
        <w:t>. pp. 207-228</w:t>
      </w:r>
    </w:p>
    <w:p w:rsidR="00DD2ABF" w:rsidRDefault="00DD2ABF" w:rsidP="008607A3">
      <w:pPr>
        <w:pStyle w:val="Default"/>
        <w:contextualSpacing/>
        <w:rPr>
          <w:rFonts w:asciiTheme="majorHAnsi" w:hAnsiTheme="majorHAnsi" w:cstheme="majorHAnsi"/>
          <w:sz w:val="22"/>
          <w:szCs w:val="22"/>
          <w:lang w:val="en-US"/>
        </w:rPr>
      </w:pPr>
    </w:p>
    <w:p w:rsidR="00DD2ABF" w:rsidRPr="00E31BDA" w:rsidRDefault="00DD2ABF" w:rsidP="008607A3">
      <w:pPr>
        <w:pStyle w:val="Default"/>
        <w:numPr>
          <w:ilvl w:val="0"/>
          <w:numId w:val="5"/>
        </w:numPr>
        <w:contextualSpacing/>
        <w:rPr>
          <w:lang w:val="en-US"/>
        </w:rPr>
      </w:pPr>
      <w:r>
        <w:rPr>
          <w:rFonts w:asciiTheme="majorHAnsi" w:hAnsiTheme="majorHAnsi" w:cstheme="majorHAnsi"/>
          <w:sz w:val="22"/>
          <w:szCs w:val="22"/>
          <w:lang w:val="en-US"/>
        </w:rPr>
        <w:t xml:space="preserve">Biggs, R., C. Rhode, S. Archibald, L. M. Kunene, S. S. Mutanga, N. Nkuna, P. O. Ocholla, and L. J. Phadima. (2015) Strategies for managing complex social-ecological systems in the face of uncertainty: examples from South Africa and beyond. </w:t>
      </w:r>
      <w:r>
        <w:rPr>
          <w:rFonts w:asciiTheme="majorHAnsi" w:hAnsiTheme="majorHAnsi" w:cstheme="majorHAnsi"/>
          <w:i/>
          <w:iCs/>
          <w:sz w:val="22"/>
          <w:szCs w:val="22"/>
          <w:lang w:val="en-US"/>
        </w:rPr>
        <w:t>Ecology and Society 20(1):52</w:t>
      </w:r>
    </w:p>
    <w:p w:rsidR="00DD2ABF" w:rsidRDefault="00DD2ABF" w:rsidP="008607A3">
      <w:pPr>
        <w:pStyle w:val="Default"/>
        <w:contextualSpacing/>
        <w:rPr>
          <w:rFonts w:asciiTheme="majorHAnsi" w:hAnsiTheme="majorHAnsi" w:cstheme="majorHAnsi"/>
          <w:i/>
          <w:iCs/>
          <w:sz w:val="22"/>
          <w:szCs w:val="22"/>
          <w:lang w:val="en-US"/>
        </w:rPr>
      </w:pPr>
    </w:p>
    <w:p w:rsidR="00DD2ABF" w:rsidRPr="008607A3" w:rsidRDefault="00DD2ABF" w:rsidP="008607A3">
      <w:pPr>
        <w:pStyle w:val="Default"/>
        <w:numPr>
          <w:ilvl w:val="0"/>
          <w:numId w:val="5"/>
        </w:numPr>
        <w:contextualSpacing/>
        <w:rPr>
          <w:rFonts w:asciiTheme="majorHAnsi" w:hAnsiTheme="majorHAnsi" w:cstheme="majorHAnsi"/>
          <w:iCs/>
          <w:sz w:val="22"/>
          <w:szCs w:val="22"/>
          <w:lang w:val="en-US"/>
        </w:rPr>
      </w:pPr>
      <w:r w:rsidRPr="008607A3">
        <w:rPr>
          <w:rFonts w:asciiTheme="majorHAnsi" w:hAnsiTheme="majorHAnsi" w:cstheme="majorHAnsi"/>
          <w:iCs/>
          <w:sz w:val="22"/>
          <w:szCs w:val="22"/>
          <w:lang w:val="en-US"/>
        </w:rPr>
        <w:t xml:space="preserve">Chambers, R. (1997) Whose reality counts? Putting the last first. Intermediate Technology publications. Ch.1 =20 p. (Also available at the library) </w:t>
      </w:r>
    </w:p>
    <w:p w:rsidR="001D6269" w:rsidRDefault="001D6269" w:rsidP="008607A3">
      <w:pPr>
        <w:pStyle w:val="Default"/>
        <w:contextualSpacing/>
        <w:rPr>
          <w:rFonts w:asciiTheme="majorHAnsi" w:hAnsiTheme="majorHAnsi" w:cstheme="majorHAnsi"/>
          <w:i/>
          <w:iCs/>
          <w:sz w:val="22"/>
          <w:szCs w:val="22"/>
          <w:lang w:val="en-US"/>
        </w:rPr>
      </w:pPr>
    </w:p>
    <w:p w:rsidR="008607A3" w:rsidRPr="008607A3" w:rsidRDefault="001D6269" w:rsidP="008607A3">
      <w:pPr>
        <w:pStyle w:val="Default"/>
        <w:numPr>
          <w:ilvl w:val="0"/>
          <w:numId w:val="5"/>
        </w:numPr>
        <w:contextualSpacing/>
        <w:rPr>
          <w:lang w:val="en-US"/>
        </w:rPr>
      </w:pPr>
      <w:r>
        <w:rPr>
          <w:rFonts w:asciiTheme="majorHAnsi" w:hAnsiTheme="majorHAnsi" w:cstheme="majorHAnsi"/>
          <w:sz w:val="22"/>
          <w:szCs w:val="22"/>
          <w:lang w:val="en-US"/>
        </w:rPr>
        <w:lastRenderedPageBreak/>
        <w:t>Hoppe, T., Arentsen, M., Mikkilä, M. and Linnanen, L. (2012) T</w:t>
      </w:r>
      <w:r>
        <w:rPr>
          <w:rFonts w:asciiTheme="majorHAnsi" w:hAnsiTheme="majorHAnsi" w:cstheme="majorHAnsi"/>
          <w:i/>
          <w:iCs/>
          <w:sz w:val="22"/>
          <w:szCs w:val="22"/>
          <w:lang w:val="en-US"/>
        </w:rPr>
        <w:t>ransition Management and the Sustainable Nutrients Economy in the Netherlands</w:t>
      </w:r>
      <w:r>
        <w:rPr>
          <w:rFonts w:asciiTheme="majorHAnsi" w:hAnsiTheme="majorHAnsi" w:cstheme="majorHAnsi"/>
          <w:sz w:val="22"/>
          <w:szCs w:val="22"/>
          <w:lang w:val="en-US"/>
        </w:rPr>
        <w:t>. Research report 25, Lappeenranta University of Technology, Faculty of Technology. Department of Energy- and Environmental Technology, Netherlands</w:t>
      </w:r>
    </w:p>
    <w:p w:rsidR="008607A3" w:rsidRPr="001D6269" w:rsidRDefault="008607A3" w:rsidP="008607A3">
      <w:pPr>
        <w:pStyle w:val="Default"/>
        <w:ind w:left="720"/>
        <w:contextualSpacing/>
        <w:rPr>
          <w:lang w:val="en-US"/>
        </w:rPr>
      </w:pPr>
    </w:p>
    <w:p w:rsidR="00DD2ABF" w:rsidRPr="001D6269" w:rsidRDefault="001D6269" w:rsidP="008607A3">
      <w:pPr>
        <w:pStyle w:val="Heading2"/>
        <w:ind w:firstLine="720"/>
        <w:contextualSpacing/>
        <w:rPr>
          <w:lang w:val="en-US"/>
        </w:rPr>
      </w:pPr>
      <w:r>
        <w:rPr>
          <w:lang w:val="en-US"/>
        </w:rPr>
        <w:t>Process Facilitation</w:t>
      </w:r>
    </w:p>
    <w:p w:rsidR="00DD2ABF" w:rsidRPr="00E31BDA" w:rsidRDefault="00DD2ABF" w:rsidP="008607A3">
      <w:pPr>
        <w:pStyle w:val="Default"/>
        <w:numPr>
          <w:ilvl w:val="0"/>
          <w:numId w:val="6"/>
        </w:numPr>
        <w:contextualSpacing/>
        <w:rPr>
          <w:lang w:val="en-US"/>
        </w:rPr>
      </w:pPr>
      <w:r>
        <w:rPr>
          <w:rFonts w:asciiTheme="majorHAnsi" w:hAnsiTheme="majorHAnsi" w:cstheme="majorHAnsi"/>
          <w:sz w:val="22"/>
          <w:szCs w:val="22"/>
          <w:lang w:val="en-US"/>
        </w:rPr>
        <w:t xml:space="preserve">Groot, Annemarie &amp; Maarleveld, Marleen (2000) </w:t>
      </w:r>
      <w:r>
        <w:rPr>
          <w:rFonts w:asciiTheme="majorHAnsi" w:hAnsiTheme="majorHAnsi" w:cstheme="majorHAnsi"/>
          <w:i/>
          <w:iCs/>
          <w:sz w:val="22"/>
          <w:szCs w:val="22"/>
          <w:lang w:val="en-US"/>
        </w:rPr>
        <w:t xml:space="preserve">Demystifying Facilitation in Participatory Development. </w:t>
      </w:r>
      <w:r>
        <w:rPr>
          <w:rFonts w:asciiTheme="majorHAnsi" w:hAnsiTheme="majorHAnsi" w:cstheme="majorHAnsi"/>
          <w:sz w:val="22"/>
          <w:szCs w:val="22"/>
          <w:lang w:val="en-US"/>
        </w:rPr>
        <w:t xml:space="preserve">International Inst for Env. And Development (iied) Gatekeeper Series no.89 London </w:t>
      </w:r>
      <w:hyperlink r:id="rId16">
        <w:r>
          <w:rPr>
            <w:rStyle w:val="InternetLink"/>
            <w:rFonts w:asciiTheme="majorHAnsi" w:hAnsiTheme="majorHAnsi" w:cstheme="majorHAnsi"/>
            <w:sz w:val="22"/>
            <w:szCs w:val="22"/>
            <w:lang w:val="en-US"/>
          </w:rPr>
          <w:t>http://pubs.iied.org/pdfs/X188IIED.pdf</w:t>
        </w:r>
      </w:hyperlink>
      <w:r>
        <w:rPr>
          <w:rFonts w:asciiTheme="majorHAnsi" w:hAnsiTheme="majorHAnsi" w:cstheme="majorHAnsi"/>
          <w:color w:val="0562C1"/>
          <w:sz w:val="22"/>
          <w:szCs w:val="22"/>
          <w:lang w:val="en-US"/>
        </w:rPr>
        <w:t xml:space="preserve"> </w:t>
      </w:r>
    </w:p>
    <w:p w:rsidR="00DD2ABF" w:rsidRDefault="00DD2ABF" w:rsidP="008607A3">
      <w:pPr>
        <w:pStyle w:val="Default"/>
        <w:contextualSpacing/>
        <w:rPr>
          <w:rFonts w:asciiTheme="majorHAnsi" w:hAnsiTheme="majorHAnsi" w:cstheme="majorHAnsi"/>
          <w:color w:val="0562C1"/>
          <w:sz w:val="22"/>
          <w:szCs w:val="22"/>
          <w:lang w:val="en-US"/>
        </w:rPr>
      </w:pPr>
    </w:p>
    <w:p w:rsidR="00DD2ABF" w:rsidRPr="00E31BDA" w:rsidRDefault="00DD2ABF" w:rsidP="008607A3">
      <w:pPr>
        <w:pStyle w:val="Default"/>
        <w:numPr>
          <w:ilvl w:val="0"/>
          <w:numId w:val="6"/>
        </w:numPr>
        <w:contextualSpacing/>
        <w:rPr>
          <w:lang w:val="en-US"/>
        </w:rPr>
      </w:pPr>
      <w:r>
        <w:rPr>
          <w:rFonts w:asciiTheme="majorHAnsi" w:hAnsiTheme="majorHAnsi" w:cstheme="majorHAnsi"/>
          <w:sz w:val="22"/>
          <w:szCs w:val="22"/>
          <w:lang w:val="en-US"/>
        </w:rPr>
        <w:t xml:space="preserve">Guijt, I. (1998) </w:t>
      </w:r>
      <w:r>
        <w:rPr>
          <w:rFonts w:asciiTheme="majorHAnsi" w:hAnsiTheme="majorHAnsi" w:cstheme="majorHAnsi"/>
          <w:i/>
          <w:iCs/>
          <w:sz w:val="22"/>
          <w:szCs w:val="22"/>
          <w:lang w:val="en-US"/>
        </w:rPr>
        <w:t xml:space="preserve">Participatory monitoring and impact assessment of sustainable agriculture initiatives. </w:t>
      </w:r>
      <w:r>
        <w:rPr>
          <w:rFonts w:asciiTheme="majorHAnsi" w:hAnsiTheme="majorHAnsi" w:cstheme="majorHAnsi"/>
          <w:sz w:val="22"/>
          <w:szCs w:val="22"/>
          <w:lang w:val="en-US"/>
        </w:rPr>
        <w:t xml:space="preserve">SARL discussion paper 1.Ch. 2-8. Available at </w:t>
      </w:r>
      <w:r>
        <w:rPr>
          <w:rFonts w:asciiTheme="majorHAnsi" w:hAnsiTheme="majorHAnsi" w:cstheme="majorHAnsi"/>
          <w:color w:val="0562C1"/>
          <w:sz w:val="22"/>
          <w:szCs w:val="22"/>
          <w:lang w:val="en-US"/>
        </w:rPr>
        <w:t xml:space="preserve">www.iied.org </w:t>
      </w:r>
    </w:p>
    <w:p w:rsidR="00DD2ABF" w:rsidRDefault="00DD2ABF" w:rsidP="008607A3">
      <w:pPr>
        <w:pStyle w:val="Default"/>
        <w:contextualSpacing/>
        <w:rPr>
          <w:rFonts w:asciiTheme="majorHAnsi" w:hAnsiTheme="majorHAnsi" w:cstheme="majorHAnsi"/>
          <w:sz w:val="22"/>
          <w:szCs w:val="22"/>
          <w:lang w:val="en-US"/>
        </w:rPr>
      </w:pPr>
    </w:p>
    <w:p w:rsidR="00DD2ABF" w:rsidRPr="00DD2ABF" w:rsidRDefault="00DD2ABF" w:rsidP="008607A3">
      <w:pPr>
        <w:pStyle w:val="Default"/>
        <w:numPr>
          <w:ilvl w:val="0"/>
          <w:numId w:val="6"/>
        </w:numPr>
        <w:contextualSpacing/>
        <w:rPr>
          <w:lang w:val="en-US"/>
        </w:rPr>
      </w:pPr>
      <w:r>
        <w:rPr>
          <w:rFonts w:asciiTheme="majorHAnsi" w:hAnsiTheme="majorHAnsi" w:cstheme="majorHAnsi"/>
          <w:sz w:val="22"/>
          <w:szCs w:val="22"/>
          <w:lang w:val="en-US"/>
        </w:rPr>
        <w:t xml:space="preserve">Ison, R. 2008. Understanding and practices for a complex, coevolutionary systems approach. In: </w:t>
      </w:r>
      <w:r>
        <w:rPr>
          <w:rFonts w:asciiTheme="majorHAnsi" w:hAnsiTheme="majorHAnsi" w:cstheme="majorHAnsi"/>
          <w:i/>
          <w:iCs/>
          <w:sz w:val="22"/>
          <w:szCs w:val="22"/>
          <w:lang w:val="en-US"/>
        </w:rPr>
        <w:t xml:space="preserve">Proc. International Symposium: Selected topics on complex system engineering applied to sustainable animal production, 29-31 Oct. 2008, Instituto Tecnolo del Valle de Morelia, in Morelia Michoac Mexico. </w:t>
      </w:r>
    </w:p>
    <w:p w:rsidR="00DD2ABF" w:rsidRDefault="00DD2ABF" w:rsidP="008607A3">
      <w:pPr>
        <w:pStyle w:val="Default"/>
        <w:contextualSpacing/>
        <w:rPr>
          <w:rFonts w:asciiTheme="majorHAnsi" w:hAnsiTheme="majorHAnsi" w:cstheme="majorHAnsi"/>
          <w:i/>
          <w:iCs/>
          <w:sz w:val="22"/>
          <w:szCs w:val="22"/>
          <w:lang w:val="en-US"/>
        </w:rPr>
      </w:pPr>
    </w:p>
    <w:p w:rsidR="00DD2ABF" w:rsidRPr="00E31BDA" w:rsidRDefault="00DD2ABF" w:rsidP="008607A3">
      <w:pPr>
        <w:pStyle w:val="Default"/>
        <w:numPr>
          <w:ilvl w:val="0"/>
          <w:numId w:val="6"/>
        </w:numPr>
        <w:contextualSpacing/>
        <w:rPr>
          <w:lang w:val="en-US"/>
        </w:rPr>
      </w:pPr>
      <w:r>
        <w:rPr>
          <w:rFonts w:asciiTheme="majorHAnsi" w:hAnsiTheme="majorHAnsi" w:cstheme="majorHAnsi"/>
          <w:sz w:val="22"/>
          <w:szCs w:val="22"/>
          <w:lang w:val="en-US"/>
        </w:rPr>
        <w:t>Kusters K., Buck L., de Graaf M., Minang P., van Oosten C. and Zagt R. (2018) Participatory Planning, Monitoring and Evaluation of Multi-Stakeholder Platforms in Integrated Landscape Initiatives.</w:t>
      </w:r>
      <w:r>
        <w:rPr>
          <w:rFonts w:asciiTheme="majorHAnsi" w:hAnsiTheme="majorHAnsi" w:cstheme="majorHAnsi"/>
          <w:i/>
          <w:iCs/>
          <w:sz w:val="22"/>
          <w:szCs w:val="22"/>
          <w:lang w:val="en-US"/>
        </w:rPr>
        <w:t xml:space="preserve"> Environmental Management , 62:170–181</w:t>
      </w:r>
    </w:p>
    <w:p w:rsidR="00DD2ABF" w:rsidRDefault="00DD2ABF" w:rsidP="008607A3">
      <w:pPr>
        <w:pStyle w:val="Default"/>
        <w:contextualSpacing/>
        <w:rPr>
          <w:rFonts w:asciiTheme="majorHAnsi" w:hAnsiTheme="majorHAnsi" w:cstheme="majorHAnsi"/>
          <w:i/>
          <w:iCs/>
          <w:sz w:val="22"/>
          <w:szCs w:val="22"/>
          <w:lang w:val="en-US"/>
        </w:rPr>
      </w:pPr>
    </w:p>
    <w:p w:rsidR="008607A3" w:rsidRDefault="00DD2ABF" w:rsidP="008607A3">
      <w:pPr>
        <w:pStyle w:val="Default"/>
        <w:numPr>
          <w:ilvl w:val="0"/>
          <w:numId w:val="6"/>
        </w:numPr>
        <w:contextualSpacing/>
        <w:rPr>
          <w:rFonts w:asciiTheme="majorHAnsi" w:hAnsiTheme="majorHAnsi" w:cstheme="majorHAnsi"/>
          <w:sz w:val="22"/>
          <w:szCs w:val="22"/>
          <w:lang w:val="en-US"/>
        </w:rPr>
      </w:pPr>
      <w:r>
        <w:rPr>
          <w:rFonts w:asciiTheme="majorHAnsi" w:hAnsiTheme="majorHAnsi" w:cstheme="majorHAnsi"/>
          <w:sz w:val="22"/>
          <w:szCs w:val="22"/>
          <w:lang w:val="en-US"/>
        </w:rPr>
        <w:t xml:space="preserve">Méndez E.V., Bacon C.M. &amp; Cohen R. (2013): Agroecology as a Transdisciplinary, Participatory, and Action-Oriented Approach. </w:t>
      </w:r>
      <w:r>
        <w:rPr>
          <w:rFonts w:asciiTheme="majorHAnsi" w:hAnsiTheme="majorHAnsi" w:cstheme="majorHAnsi"/>
          <w:i/>
          <w:iCs/>
          <w:sz w:val="22"/>
          <w:szCs w:val="22"/>
          <w:lang w:val="en-US"/>
        </w:rPr>
        <w:t>Agroecology and Sustainable Food Systems</w:t>
      </w:r>
      <w:r>
        <w:rPr>
          <w:rFonts w:asciiTheme="majorHAnsi" w:hAnsiTheme="majorHAnsi" w:cstheme="majorHAnsi"/>
          <w:sz w:val="22"/>
          <w:szCs w:val="22"/>
          <w:lang w:val="en-US"/>
        </w:rPr>
        <w:t xml:space="preserve">, 37:1, 3-18 </w:t>
      </w:r>
    </w:p>
    <w:p w:rsidR="00DD2ABF" w:rsidRPr="008607A3" w:rsidRDefault="008607A3" w:rsidP="008607A3">
      <w:pPr>
        <w:rPr>
          <w:rFonts w:asciiTheme="majorHAnsi" w:hAnsiTheme="majorHAnsi" w:cstheme="majorHAnsi"/>
          <w:color w:val="000000"/>
          <w:lang w:val="en-US"/>
        </w:rPr>
      </w:pPr>
      <w:r>
        <w:rPr>
          <w:rFonts w:asciiTheme="majorHAnsi" w:hAnsiTheme="majorHAnsi" w:cstheme="majorHAnsi"/>
          <w:lang w:val="en-US"/>
        </w:rPr>
        <w:br w:type="page"/>
      </w:r>
    </w:p>
    <w:p w:rsidR="008607A3" w:rsidRDefault="008607A3" w:rsidP="008607A3">
      <w:pPr>
        <w:pStyle w:val="Heading1"/>
        <w:ind w:firstLine="720"/>
        <w:contextualSpacing/>
        <w:rPr>
          <w:lang w:val="en-US"/>
        </w:rPr>
      </w:pPr>
      <w:r>
        <w:rPr>
          <w:lang w:val="en-US"/>
        </w:rPr>
        <w:lastRenderedPageBreak/>
        <w:t>Compulsory if you did not attend the Agroecology Basics course</w:t>
      </w:r>
    </w:p>
    <w:p w:rsidR="008607A3" w:rsidRDefault="008607A3" w:rsidP="008607A3">
      <w:pPr>
        <w:pStyle w:val="Heading2"/>
        <w:ind w:firstLine="720"/>
        <w:contextualSpacing/>
        <w:rPr>
          <w:lang w:val="en-US"/>
        </w:rPr>
      </w:pPr>
      <w:r>
        <w:rPr>
          <w:lang w:val="en-US"/>
        </w:rPr>
        <w:t xml:space="preserve">Systems Thinking </w:t>
      </w:r>
    </w:p>
    <w:p w:rsidR="008607A3" w:rsidRDefault="008607A3" w:rsidP="008607A3">
      <w:pPr>
        <w:pStyle w:val="Default"/>
        <w:numPr>
          <w:ilvl w:val="0"/>
          <w:numId w:val="2"/>
        </w:numPr>
        <w:contextualSpacing/>
        <w:rPr>
          <w:rFonts w:ascii="Calibri Light" w:hAnsi="Calibri Light" w:cs="Calibri Light"/>
          <w:sz w:val="22"/>
          <w:szCs w:val="22"/>
          <w:lang w:val="en-US"/>
        </w:rPr>
      </w:pPr>
      <w:r>
        <w:rPr>
          <w:rFonts w:ascii="Calibri Light" w:hAnsi="Calibri Light" w:cs="Calibri Light"/>
          <w:sz w:val="22"/>
          <w:szCs w:val="22"/>
          <w:lang w:val="en-US"/>
        </w:rPr>
        <w:t xml:space="preserve">Haraldsson, H.V. (2004) </w:t>
      </w:r>
      <w:r>
        <w:rPr>
          <w:rFonts w:ascii="Calibri Light" w:hAnsi="Calibri Light" w:cs="Calibri Light"/>
          <w:i/>
          <w:iCs/>
          <w:sz w:val="22"/>
          <w:szCs w:val="22"/>
          <w:lang w:val="en-US"/>
        </w:rPr>
        <w:t>Introduction to Systems Thinking and Causal Loop Diagrams</w:t>
      </w:r>
      <w:r>
        <w:rPr>
          <w:rFonts w:ascii="Calibri Light" w:hAnsi="Calibri Light" w:cs="Calibri Light"/>
          <w:sz w:val="22"/>
          <w:szCs w:val="22"/>
          <w:lang w:val="en-US"/>
        </w:rPr>
        <w:t>. Ecology and Environmental Engineering Report 1:2004. Environmental Engineering Group and the Department of Chemical Engineering, Lund University, Sweden</w:t>
      </w:r>
    </w:p>
    <w:p w:rsidR="008607A3" w:rsidRDefault="008607A3" w:rsidP="008607A3">
      <w:pPr>
        <w:pStyle w:val="Default"/>
        <w:spacing w:after="158"/>
        <w:contextualSpacing/>
        <w:rPr>
          <w:rFonts w:ascii="Calibri Light" w:hAnsi="Calibri Light" w:cs="Calibri Light"/>
          <w:sz w:val="22"/>
          <w:szCs w:val="22"/>
          <w:lang w:val="en-US"/>
        </w:rPr>
      </w:pPr>
    </w:p>
    <w:p w:rsidR="00E17463" w:rsidRPr="00E17463" w:rsidRDefault="00E17463" w:rsidP="008607A3">
      <w:pPr>
        <w:rPr>
          <w:rFonts w:asciiTheme="majorHAnsi" w:hAnsiTheme="majorHAnsi" w:cstheme="majorHAnsi"/>
          <w:i/>
          <w:lang w:val="en-US"/>
        </w:rPr>
      </w:pPr>
    </w:p>
    <w:sectPr w:rsidR="00E17463" w:rsidRPr="00E17463">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31" w:rsidRDefault="00541131" w:rsidP="00541131">
      <w:pPr>
        <w:spacing w:after="0" w:line="240" w:lineRule="auto"/>
      </w:pPr>
      <w:r>
        <w:separator/>
      </w:r>
    </w:p>
  </w:endnote>
  <w:endnote w:type="continuationSeparator" w:id="0">
    <w:p w:rsidR="00541131" w:rsidRDefault="00541131" w:rsidP="0054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171191"/>
      <w:docPartObj>
        <w:docPartGallery w:val="Page Numbers (Bottom of Page)"/>
        <w:docPartUnique/>
      </w:docPartObj>
    </w:sdtPr>
    <w:sdtEndPr>
      <w:rPr>
        <w:noProof/>
      </w:rPr>
    </w:sdtEndPr>
    <w:sdtContent>
      <w:p w:rsidR="00AB1C1B" w:rsidRDefault="00AB1C1B">
        <w:pPr>
          <w:pStyle w:val="Footer"/>
          <w:jc w:val="center"/>
        </w:pPr>
        <w:r>
          <w:fldChar w:fldCharType="begin"/>
        </w:r>
        <w:r>
          <w:instrText xml:space="preserve"> PAGE   \* MERGEFORMAT </w:instrText>
        </w:r>
        <w:r>
          <w:fldChar w:fldCharType="separate"/>
        </w:r>
        <w:r w:rsidR="00214762">
          <w:rPr>
            <w:noProof/>
          </w:rPr>
          <w:t>4</w:t>
        </w:r>
        <w:r>
          <w:rPr>
            <w:noProof/>
          </w:rPr>
          <w:fldChar w:fldCharType="end"/>
        </w:r>
      </w:p>
    </w:sdtContent>
  </w:sdt>
  <w:p w:rsidR="00AB1C1B" w:rsidRDefault="00AB1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31" w:rsidRDefault="00541131" w:rsidP="00541131">
      <w:pPr>
        <w:spacing w:after="0" w:line="240" w:lineRule="auto"/>
      </w:pPr>
      <w:r>
        <w:separator/>
      </w:r>
    </w:p>
  </w:footnote>
  <w:footnote w:type="continuationSeparator" w:id="0">
    <w:p w:rsidR="00541131" w:rsidRDefault="00541131" w:rsidP="0054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31" w:rsidRDefault="00214762">
    <w:pPr>
      <w:pStyle w:val="Header"/>
    </w:pPr>
    <w:r>
      <w:t>2021-01-25</w:t>
    </w:r>
  </w:p>
  <w:p w:rsidR="00541131" w:rsidRDefault="00541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33C8"/>
    <w:multiLevelType w:val="hybridMultilevel"/>
    <w:tmpl w:val="7A8A9080"/>
    <w:lvl w:ilvl="0" w:tplc="7F508FB4">
      <w:start w:val="1"/>
      <w:numFmt w:val="decimal"/>
      <w:lvlText w:val="%1."/>
      <w:lvlJc w:val="left"/>
      <w:pPr>
        <w:ind w:left="720" w:hanging="360"/>
      </w:pPr>
      <w:rPr>
        <w:rFonts w:asciiTheme="majorHAnsi" w:hAnsiTheme="majorHAnsi" w:cstheme="majorHAns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6175B9"/>
    <w:multiLevelType w:val="hybridMultilevel"/>
    <w:tmpl w:val="C374CD48"/>
    <w:lvl w:ilvl="0" w:tplc="EDE2BAAA">
      <w:start w:val="1"/>
      <w:numFmt w:val="decimal"/>
      <w:lvlText w:val="%1."/>
      <w:lvlJc w:val="left"/>
      <w:pPr>
        <w:ind w:left="720" w:hanging="360"/>
      </w:pPr>
      <w:rPr>
        <w:rFonts w:asciiTheme="majorHAnsi" w:hAnsiTheme="majorHAnsi" w:cstheme="majorHAns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686646E"/>
    <w:multiLevelType w:val="hybridMultilevel"/>
    <w:tmpl w:val="4F2823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A21197D"/>
    <w:multiLevelType w:val="hybridMultilevel"/>
    <w:tmpl w:val="C9565AE2"/>
    <w:lvl w:ilvl="0" w:tplc="095C607A">
      <w:start w:val="1"/>
      <w:numFmt w:val="decimal"/>
      <w:lvlText w:val="%1."/>
      <w:lvlJc w:val="left"/>
      <w:pPr>
        <w:ind w:left="720" w:hanging="360"/>
      </w:pPr>
      <w:rPr>
        <w:rFonts w:hint="default"/>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D227BA1"/>
    <w:multiLevelType w:val="hybridMultilevel"/>
    <w:tmpl w:val="8A1022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FCA5C19"/>
    <w:multiLevelType w:val="hybridMultilevel"/>
    <w:tmpl w:val="D21889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D5621A2"/>
    <w:multiLevelType w:val="hybridMultilevel"/>
    <w:tmpl w:val="24B8F5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93"/>
    <w:rsid w:val="00113A9B"/>
    <w:rsid w:val="001A2953"/>
    <w:rsid w:val="001D6269"/>
    <w:rsid w:val="00214762"/>
    <w:rsid w:val="00237488"/>
    <w:rsid w:val="002C055B"/>
    <w:rsid w:val="00384878"/>
    <w:rsid w:val="00541131"/>
    <w:rsid w:val="005C2AAB"/>
    <w:rsid w:val="0074376C"/>
    <w:rsid w:val="00786EF3"/>
    <w:rsid w:val="008607A3"/>
    <w:rsid w:val="00993401"/>
    <w:rsid w:val="009C4E16"/>
    <w:rsid w:val="00AB1C1B"/>
    <w:rsid w:val="00AB72E1"/>
    <w:rsid w:val="00B50307"/>
    <w:rsid w:val="00BD63E1"/>
    <w:rsid w:val="00BE6793"/>
    <w:rsid w:val="00D7606F"/>
    <w:rsid w:val="00DD2ABF"/>
    <w:rsid w:val="00E17463"/>
    <w:rsid w:val="00E576F9"/>
    <w:rsid w:val="00FF39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BC71"/>
  <w15:chartTrackingRefBased/>
  <w15:docId w15:val="{F05F3466-6EFE-4DF7-8C8B-215E87FC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6269"/>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1D6269"/>
    <w:pPr>
      <w:keepNext/>
      <w:keepLines/>
      <w:spacing w:before="40" w:after="0"/>
      <w:outlineLvl w:val="1"/>
    </w:pPr>
    <w:rPr>
      <w:rFonts w:asciiTheme="majorHAnsi" w:eastAsiaTheme="majorEastAsia" w:hAnsiTheme="majorHAnsi" w:cstheme="majorBidi"/>
      <w:b/>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5411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1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1131"/>
  </w:style>
  <w:style w:type="paragraph" w:styleId="Footer">
    <w:name w:val="footer"/>
    <w:basedOn w:val="Normal"/>
    <w:link w:val="FooterChar"/>
    <w:uiPriority w:val="99"/>
    <w:unhideWhenUsed/>
    <w:rsid w:val="005411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1131"/>
  </w:style>
  <w:style w:type="character" w:customStyle="1" w:styleId="Heading2Char">
    <w:name w:val="Heading 2 Char"/>
    <w:basedOn w:val="DefaultParagraphFont"/>
    <w:link w:val="Heading2"/>
    <w:uiPriority w:val="9"/>
    <w:rsid w:val="001D6269"/>
    <w:rPr>
      <w:rFonts w:asciiTheme="majorHAnsi" w:eastAsiaTheme="majorEastAsia" w:hAnsiTheme="majorHAnsi" w:cstheme="majorBidi"/>
      <w:b/>
      <w:color w:val="595959" w:themeColor="text1" w:themeTint="A6"/>
      <w:sz w:val="26"/>
      <w:szCs w:val="26"/>
    </w:rPr>
  </w:style>
  <w:style w:type="character" w:styleId="Hyperlink">
    <w:name w:val="Hyperlink"/>
    <w:basedOn w:val="DefaultParagraphFont"/>
    <w:uiPriority w:val="99"/>
    <w:unhideWhenUsed/>
    <w:rsid w:val="00541131"/>
    <w:rPr>
      <w:color w:val="0563C1" w:themeColor="hyperlink"/>
      <w:u w:val="single"/>
    </w:rPr>
  </w:style>
  <w:style w:type="character" w:styleId="FollowedHyperlink">
    <w:name w:val="FollowedHyperlink"/>
    <w:basedOn w:val="DefaultParagraphFont"/>
    <w:uiPriority w:val="99"/>
    <w:semiHidden/>
    <w:unhideWhenUsed/>
    <w:rsid w:val="00237488"/>
    <w:rPr>
      <w:color w:val="954F72" w:themeColor="followedHyperlink"/>
      <w:u w:val="single"/>
    </w:rPr>
  </w:style>
  <w:style w:type="paragraph" w:styleId="ListParagraph">
    <w:name w:val="List Paragraph"/>
    <w:basedOn w:val="Normal"/>
    <w:uiPriority w:val="34"/>
    <w:qFormat/>
    <w:rsid w:val="00237488"/>
    <w:pPr>
      <w:ind w:left="720"/>
      <w:contextualSpacing/>
    </w:pPr>
  </w:style>
  <w:style w:type="character" w:customStyle="1" w:styleId="InternetLink">
    <w:name w:val="Internet Link"/>
    <w:basedOn w:val="DefaultParagraphFont"/>
    <w:rsid w:val="00DD2ABF"/>
    <w:rPr>
      <w:color w:val="0563C1"/>
      <w:u w:val="single"/>
    </w:rPr>
  </w:style>
  <w:style w:type="character" w:styleId="Emphasis">
    <w:name w:val="Emphasis"/>
    <w:qFormat/>
    <w:rsid w:val="00DD2ABF"/>
    <w:rPr>
      <w:i/>
      <w:iCs/>
    </w:rPr>
  </w:style>
  <w:style w:type="character" w:customStyle="1" w:styleId="Heading1Char">
    <w:name w:val="Heading 1 Char"/>
    <w:basedOn w:val="DefaultParagraphFont"/>
    <w:link w:val="Heading1"/>
    <w:uiPriority w:val="9"/>
    <w:rsid w:val="001D6269"/>
    <w:rPr>
      <w:rFonts w:asciiTheme="majorHAnsi" w:eastAsiaTheme="majorEastAsia" w:hAnsiTheme="majorHAnsi" w:cstheme="majorBidi"/>
      <w:b/>
      <w:color w:val="000000" w:themeColor="text1"/>
      <w:sz w:val="32"/>
      <w:szCs w:val="32"/>
    </w:rPr>
  </w:style>
  <w:style w:type="paragraph" w:styleId="Title">
    <w:name w:val="Title"/>
    <w:basedOn w:val="Normal"/>
    <w:next w:val="Normal"/>
    <w:link w:val="TitleChar"/>
    <w:uiPriority w:val="10"/>
    <w:qFormat/>
    <w:rsid w:val="00AB72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2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v.org/public/cms/sites/default/files/explore/download/capacity_development_in_practice.pdf" TargetMode="External"/><Relationship Id="rId13" Type="http://schemas.openxmlformats.org/officeDocument/2006/relationships/hyperlink" Target="https://stockholmresilience.org/download/18.10119fc11455d3c557d6928/1459560241272/SRC+Applying+Resilience+final.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dfs.semanticscholar.org/c59f/4ca058704fc3dee3fce50de7344a20ccc146.pdf" TargetMode="External"/><Relationship Id="rId12" Type="http://schemas.openxmlformats.org/officeDocument/2006/relationships/hyperlink" Target="http://www.hcn.org/issues/59/183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ubs.iied.org/pdfs/X188IIE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central.proquest.com/lib/slub-ebooks/detail.action?docID=165413" TargetMode="External"/><Relationship Id="rId5" Type="http://schemas.openxmlformats.org/officeDocument/2006/relationships/footnotes" Target="footnotes.xml"/><Relationship Id="rId15" Type="http://schemas.openxmlformats.org/officeDocument/2006/relationships/hyperlink" Target="http://orgprints.org/3977/" TargetMode="External"/><Relationship Id="rId10" Type="http://schemas.openxmlformats.org/officeDocument/2006/relationships/hyperlink" Target="https://practicalactionpublishing.com/book/1446/the-msp-gui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ubs.surrey.ac.uk/7446/8/Tosey_The_origins_and_conceptualisations.pdf" TargetMode="External"/><Relationship Id="rId14" Type="http://schemas.openxmlformats.org/officeDocument/2006/relationships/hyperlink" Target="http://onlinelibrary.wiley.com/doi/10.1111/1467-9523.00169/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Meijer</dc:creator>
  <cp:keywords/>
  <dc:description/>
  <cp:lastModifiedBy>Robin Meijer</cp:lastModifiedBy>
  <cp:revision>2</cp:revision>
  <dcterms:created xsi:type="dcterms:W3CDTF">2021-01-25T07:38:00Z</dcterms:created>
  <dcterms:modified xsi:type="dcterms:W3CDTF">2021-01-25T07:38:00Z</dcterms:modified>
</cp:coreProperties>
</file>