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3005D" w14:textId="3FC8829C" w:rsidR="00FC1775" w:rsidRDefault="00A11332" w:rsidP="00A11332">
      <w:pPr>
        <w:pStyle w:val="Heading1"/>
        <w:rPr>
          <w:lang w:val="en-GB"/>
        </w:rPr>
      </w:pPr>
      <w:r>
        <w:rPr>
          <w:lang w:val="en-GB"/>
        </w:rPr>
        <w:t xml:space="preserve">Study Guide: </w:t>
      </w:r>
      <w:r w:rsidR="00FA369A" w:rsidRPr="00FA369A">
        <w:rPr>
          <w:lang w:val="en-GB"/>
        </w:rPr>
        <w:t xml:space="preserve">Topics in Agricultural Economics </w:t>
      </w:r>
      <w:r w:rsidR="00701B25">
        <w:rPr>
          <w:lang w:val="en-GB"/>
        </w:rPr>
        <w:t>for Sustainable Development</w:t>
      </w:r>
      <w:r w:rsidR="00FA369A" w:rsidRPr="00FA369A">
        <w:rPr>
          <w:lang w:val="en-GB"/>
        </w:rPr>
        <w:t xml:space="preserve">, </w:t>
      </w:r>
      <w:r w:rsidR="00FA369A">
        <w:rPr>
          <w:lang w:val="en-GB"/>
        </w:rPr>
        <w:t>7.5 ECTS</w:t>
      </w:r>
      <w:r w:rsidR="00A91329">
        <w:rPr>
          <w:lang w:val="en-GB"/>
        </w:rPr>
        <w:t>, 20</w:t>
      </w:r>
      <w:r w:rsidR="006315B5">
        <w:rPr>
          <w:lang w:val="en-GB"/>
        </w:rPr>
        <w:t>24</w:t>
      </w:r>
      <w:bookmarkStart w:id="0" w:name="_GoBack"/>
      <w:bookmarkEnd w:id="0"/>
    </w:p>
    <w:p w14:paraId="2421BB77" w14:textId="5D048434" w:rsidR="00FA369A" w:rsidRDefault="00A11332" w:rsidP="00FA369A">
      <w:pPr>
        <w:rPr>
          <w:lang w:val="en-GB"/>
        </w:rPr>
      </w:pPr>
      <w:r>
        <w:rPr>
          <w:lang w:val="en-GB"/>
        </w:rPr>
        <w:t xml:space="preserve">The course Topics in Agricultural Economics </w:t>
      </w:r>
      <w:r w:rsidR="00701B25">
        <w:rPr>
          <w:lang w:val="en-GB"/>
        </w:rPr>
        <w:t>for Sustainable Development</w:t>
      </w:r>
      <w:r w:rsidR="00FA369A">
        <w:rPr>
          <w:lang w:val="en-GB"/>
        </w:rPr>
        <w:t xml:space="preserve"> covers four</w:t>
      </w:r>
      <w:r>
        <w:rPr>
          <w:lang w:val="en-GB"/>
        </w:rPr>
        <w:t xml:space="preserve"> current</w:t>
      </w:r>
      <w:r w:rsidR="00FA369A">
        <w:rPr>
          <w:lang w:val="en-GB"/>
        </w:rPr>
        <w:t xml:space="preserve"> </w:t>
      </w:r>
      <w:r>
        <w:rPr>
          <w:lang w:val="en-GB"/>
        </w:rPr>
        <w:t xml:space="preserve">research </w:t>
      </w:r>
      <w:r w:rsidR="00FA369A">
        <w:rPr>
          <w:lang w:val="en-GB"/>
        </w:rPr>
        <w:t>topics in</w:t>
      </w:r>
      <w:r>
        <w:rPr>
          <w:lang w:val="en-GB"/>
        </w:rPr>
        <w:t xml:space="preserve"> the field</w:t>
      </w:r>
      <w:r w:rsidR="00701B25">
        <w:rPr>
          <w:lang w:val="en-GB"/>
        </w:rPr>
        <w:t xml:space="preserve"> and relate them to sustainable development</w:t>
      </w:r>
      <w:r w:rsidR="00FA369A">
        <w:rPr>
          <w:lang w:val="en-GB"/>
        </w:rPr>
        <w:t xml:space="preserve">. </w:t>
      </w:r>
      <w:r>
        <w:rPr>
          <w:lang w:val="en-GB"/>
        </w:rPr>
        <w:t xml:space="preserve">The topics </w:t>
      </w:r>
      <w:r w:rsidR="00FA369A">
        <w:rPr>
          <w:lang w:val="en-GB"/>
        </w:rPr>
        <w:t>are</w:t>
      </w:r>
      <w:r>
        <w:rPr>
          <w:lang w:val="en-GB"/>
        </w:rPr>
        <w:t xml:space="preserve"> all</w:t>
      </w:r>
      <w:r w:rsidR="00FA369A">
        <w:rPr>
          <w:lang w:val="en-GB"/>
        </w:rPr>
        <w:t xml:space="preserve"> at the research frontier in agricultural economics and </w:t>
      </w:r>
      <w:r>
        <w:rPr>
          <w:lang w:val="en-GB"/>
        </w:rPr>
        <w:t>are</w:t>
      </w:r>
      <w:r w:rsidR="00FA369A">
        <w:rPr>
          <w:lang w:val="en-GB"/>
        </w:rPr>
        <w:t xml:space="preserve"> directly or indirectly related to on-going research projects at the Department of economics, SLU. They are also all very relevant and timely for understanding, studying and analysing current</w:t>
      </w:r>
      <w:r w:rsidR="00701B25">
        <w:rPr>
          <w:lang w:val="en-GB"/>
        </w:rPr>
        <w:t xml:space="preserve"> sustainability</w:t>
      </w:r>
      <w:r w:rsidR="00FA369A">
        <w:rPr>
          <w:lang w:val="en-GB"/>
        </w:rPr>
        <w:t xml:space="preserve"> challenges in the agricultural sector</w:t>
      </w:r>
      <w:r>
        <w:rPr>
          <w:lang w:val="en-GB"/>
        </w:rPr>
        <w:t xml:space="preserve"> and</w:t>
      </w:r>
      <w:r w:rsidR="00FA369A">
        <w:rPr>
          <w:lang w:val="en-GB"/>
        </w:rPr>
        <w:t xml:space="preserve"> are highly relevant for the design and implementation of agricultural and food policy. The topics are rotated every time the course is given. </w:t>
      </w:r>
    </w:p>
    <w:p w14:paraId="3D21893D" w14:textId="77777777" w:rsidR="00A11332" w:rsidRDefault="00A11332" w:rsidP="00FA369A">
      <w:pPr>
        <w:pStyle w:val="Heading2"/>
        <w:rPr>
          <w:lang w:val="en-GB"/>
        </w:rPr>
      </w:pPr>
    </w:p>
    <w:p w14:paraId="4A9ACE2A" w14:textId="1D369F79" w:rsidR="00FA369A" w:rsidRDefault="00FA369A" w:rsidP="00FA369A">
      <w:pPr>
        <w:pStyle w:val="Heading2"/>
        <w:rPr>
          <w:lang w:val="en-GB"/>
        </w:rPr>
      </w:pPr>
      <w:r>
        <w:rPr>
          <w:lang w:val="en-GB"/>
        </w:rPr>
        <w:t xml:space="preserve">Implementation </w:t>
      </w:r>
      <w:r w:rsidR="00630BDF">
        <w:rPr>
          <w:lang w:val="en-GB"/>
        </w:rPr>
        <w:t>202</w:t>
      </w:r>
      <w:r w:rsidR="006315B5">
        <w:rPr>
          <w:lang w:val="en-GB"/>
        </w:rPr>
        <w:t>4</w:t>
      </w:r>
    </w:p>
    <w:p w14:paraId="2FE3F567" w14:textId="3A9C459F" w:rsidR="00FA369A" w:rsidRDefault="00FA369A" w:rsidP="00FA369A">
      <w:pPr>
        <w:rPr>
          <w:lang w:val="en-GB"/>
        </w:rPr>
      </w:pPr>
      <w:r>
        <w:rPr>
          <w:lang w:val="en-GB"/>
        </w:rPr>
        <w:t>Teachers</w:t>
      </w:r>
      <w:proofErr w:type="gramStart"/>
      <w:r>
        <w:rPr>
          <w:lang w:val="en-GB"/>
        </w:rPr>
        <w:t>:</w:t>
      </w:r>
      <w:proofErr w:type="gramEnd"/>
      <w:r>
        <w:rPr>
          <w:lang w:val="en-GB"/>
        </w:rPr>
        <w:br/>
        <w:t>Prof Helena Hansson (responsible for course, examiner)</w:t>
      </w:r>
      <w:r>
        <w:rPr>
          <w:lang w:val="en-GB"/>
        </w:rPr>
        <w:br/>
        <w:t xml:space="preserve">Dr </w:t>
      </w:r>
      <w:r w:rsidR="00701B25">
        <w:rPr>
          <w:lang w:val="en-GB"/>
        </w:rPr>
        <w:t>Anna Edenbrandt</w:t>
      </w:r>
      <w:r w:rsidR="00630BDF">
        <w:rPr>
          <w:lang w:val="en-GB"/>
        </w:rPr>
        <w:br/>
        <w:t>Dr Enoch Owusu Sekyere</w:t>
      </w:r>
      <w:r w:rsidR="00701B25">
        <w:rPr>
          <w:lang w:val="en-GB"/>
        </w:rPr>
        <w:br/>
        <w:t>Dr Thomas Slijper</w:t>
      </w:r>
      <w:r w:rsidR="00630BDF">
        <w:rPr>
          <w:lang w:val="en-GB"/>
        </w:rPr>
        <w:br/>
      </w:r>
      <w:r w:rsidR="00D327F6">
        <w:rPr>
          <w:lang w:val="en-GB"/>
        </w:rPr>
        <w:t>Dr Hui Tao</w:t>
      </w:r>
    </w:p>
    <w:p w14:paraId="574A4995" w14:textId="77777777" w:rsidR="00FA369A" w:rsidRDefault="00046294" w:rsidP="00046294">
      <w:pPr>
        <w:rPr>
          <w:lang w:val="en-GB"/>
        </w:rPr>
      </w:pPr>
      <w:r>
        <w:rPr>
          <w:lang w:val="en-GB"/>
        </w:rPr>
        <w:t>Topics covered:</w:t>
      </w:r>
    </w:p>
    <w:p w14:paraId="65ECF2B0" w14:textId="1F81C138" w:rsidR="00630BDF" w:rsidRPr="00630BDF" w:rsidRDefault="00A02C7C" w:rsidP="00630B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rFonts w:eastAsia="Times New Roman" w:cstheme="minorHAnsi"/>
          <w:color w:val="000000"/>
          <w:lang w:val="en-US" w:eastAsia="sv-SE"/>
        </w:rPr>
        <w:t>The food consumer behavior (Anna Edenbrandt)</w:t>
      </w:r>
    </w:p>
    <w:p w14:paraId="0F650E54" w14:textId="0D49DE97" w:rsidR="00630BDF" w:rsidRDefault="00630BDF" w:rsidP="00630B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Animal health and welfare economics (Enoch Owusu Sekyere)</w:t>
      </w:r>
    </w:p>
    <w:p w14:paraId="1EA36AB7" w14:textId="49559084" w:rsidR="00630BDF" w:rsidRDefault="00A02C7C" w:rsidP="00630BD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Resilient agricultural systems (Thomas Slijper</w:t>
      </w:r>
      <w:r w:rsidR="006704D6">
        <w:rPr>
          <w:lang w:val="en-GB"/>
        </w:rPr>
        <w:t>)</w:t>
      </w:r>
    </w:p>
    <w:p w14:paraId="57F5B8D0" w14:textId="50D3936E" w:rsidR="00FA369A" w:rsidRDefault="002B2256" w:rsidP="00FA369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Experimental economics to study farmer behaviour and preferences (Hui Tao)</w:t>
      </w:r>
    </w:p>
    <w:p w14:paraId="6AEED1F2" w14:textId="4CBF1A78" w:rsidR="00FA369A" w:rsidRDefault="00046294" w:rsidP="00FA369A">
      <w:pPr>
        <w:rPr>
          <w:lang w:val="en-GB"/>
        </w:rPr>
      </w:pPr>
      <w:r>
        <w:rPr>
          <w:lang w:val="en-GB"/>
        </w:rPr>
        <w:t xml:space="preserve">Before introducing and discussing each topic, the course provides an overview of current </w:t>
      </w:r>
      <w:r w:rsidR="00A02C7C">
        <w:rPr>
          <w:lang w:val="en-GB"/>
        </w:rPr>
        <w:t xml:space="preserve">sustainability </w:t>
      </w:r>
      <w:r>
        <w:rPr>
          <w:lang w:val="en-GB"/>
        </w:rPr>
        <w:t xml:space="preserve">challenges facing the agricultural </w:t>
      </w:r>
      <w:r w:rsidR="00A02C7C">
        <w:rPr>
          <w:lang w:val="en-GB"/>
        </w:rPr>
        <w:t xml:space="preserve">and food </w:t>
      </w:r>
      <w:r>
        <w:rPr>
          <w:lang w:val="en-GB"/>
        </w:rPr>
        <w:t>sector. Following this, each topic is introduced one at a time</w:t>
      </w:r>
      <w:r w:rsidR="00FA369A">
        <w:rPr>
          <w:lang w:val="en-GB"/>
        </w:rPr>
        <w:t xml:space="preserve"> </w:t>
      </w:r>
      <w:r w:rsidR="00613708">
        <w:rPr>
          <w:lang w:val="en-GB"/>
        </w:rPr>
        <w:t xml:space="preserve">by </w:t>
      </w:r>
      <w:r>
        <w:rPr>
          <w:lang w:val="en-GB"/>
        </w:rPr>
        <w:t>covering the following items:</w:t>
      </w:r>
    </w:p>
    <w:p w14:paraId="66F9274C" w14:textId="37EC8F70" w:rsidR="00FA369A" w:rsidRDefault="00FA369A" w:rsidP="00FA369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Introduction to the topic, including important questions asked</w:t>
      </w:r>
      <w:r w:rsidR="00046294">
        <w:rPr>
          <w:lang w:val="en-GB"/>
        </w:rPr>
        <w:t xml:space="preserve"> in the topic</w:t>
      </w:r>
      <w:r>
        <w:rPr>
          <w:lang w:val="en-GB"/>
        </w:rPr>
        <w:t xml:space="preserve"> and how the topic relates to, and contributes to</w:t>
      </w:r>
      <w:r w:rsidR="00046294">
        <w:rPr>
          <w:lang w:val="en-GB"/>
        </w:rPr>
        <w:t xml:space="preserve"> the understanding and study of</w:t>
      </w:r>
      <w:r>
        <w:rPr>
          <w:lang w:val="en-GB"/>
        </w:rPr>
        <w:t>, ongoing</w:t>
      </w:r>
      <w:r w:rsidR="00A02C7C">
        <w:rPr>
          <w:lang w:val="en-GB"/>
        </w:rPr>
        <w:t xml:space="preserve"> sustainability</w:t>
      </w:r>
      <w:r>
        <w:rPr>
          <w:lang w:val="en-GB"/>
        </w:rPr>
        <w:t xml:space="preserve"> challe</w:t>
      </w:r>
      <w:r w:rsidR="00613708">
        <w:rPr>
          <w:lang w:val="en-GB"/>
        </w:rPr>
        <w:t>nges in the agricultural sector;</w:t>
      </w:r>
    </w:p>
    <w:p w14:paraId="7F658E82" w14:textId="77777777" w:rsidR="00FA369A" w:rsidRDefault="00FA369A" w:rsidP="00FA369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Central theoretical assumptions in the topic. Discussion and critical reflection </w:t>
      </w:r>
      <w:r w:rsidR="00613708">
        <w:rPr>
          <w:lang w:val="en-GB"/>
        </w:rPr>
        <w:t>about</w:t>
      </w:r>
      <w:r>
        <w:rPr>
          <w:lang w:val="en-GB"/>
        </w:rPr>
        <w:t xml:space="preserve"> the assu</w:t>
      </w:r>
      <w:r w:rsidR="00613708">
        <w:rPr>
          <w:lang w:val="en-GB"/>
        </w:rPr>
        <w:t>mptions;</w:t>
      </w:r>
    </w:p>
    <w:p w14:paraId="761913C0" w14:textId="77777777" w:rsidR="00FA369A" w:rsidRDefault="00FA369A" w:rsidP="00FA369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Central methodological approaches in the topic. How </w:t>
      </w:r>
      <w:proofErr w:type="gramStart"/>
      <w:r>
        <w:rPr>
          <w:lang w:val="en-GB"/>
        </w:rPr>
        <w:t>are research questions</w:t>
      </w:r>
      <w:proofErr w:type="gramEnd"/>
      <w:r>
        <w:rPr>
          <w:lang w:val="en-GB"/>
        </w:rPr>
        <w:t xml:space="preserve"> typically approached within the topic?</w:t>
      </w:r>
    </w:p>
    <w:p w14:paraId="3B1796C6" w14:textId="2044A253" w:rsidR="00FA369A" w:rsidRDefault="00046294" w:rsidP="00046294">
      <w:pPr>
        <w:rPr>
          <w:lang w:val="en-GB"/>
        </w:rPr>
      </w:pPr>
      <w:r>
        <w:rPr>
          <w:lang w:val="en-GB"/>
        </w:rPr>
        <w:t>The review of each topic is based on a set of</w:t>
      </w:r>
      <w:r w:rsidR="00FA369A" w:rsidRPr="00046294">
        <w:rPr>
          <w:lang w:val="en-GB"/>
        </w:rPr>
        <w:t xml:space="preserve"> </w:t>
      </w:r>
      <w:r w:rsidR="00A02C7C">
        <w:rPr>
          <w:lang w:val="en-GB"/>
        </w:rPr>
        <w:t>5</w:t>
      </w:r>
      <w:r w:rsidR="00630BDF">
        <w:rPr>
          <w:lang w:val="en-GB"/>
        </w:rPr>
        <w:t xml:space="preserve"> – 7 </w:t>
      </w:r>
      <w:r w:rsidR="00FA369A" w:rsidRPr="00046294">
        <w:rPr>
          <w:lang w:val="en-GB"/>
        </w:rPr>
        <w:t>central</w:t>
      </w:r>
      <w:r>
        <w:rPr>
          <w:lang w:val="en-GB"/>
        </w:rPr>
        <w:t xml:space="preserve"> academic </w:t>
      </w:r>
      <w:r w:rsidR="00D47A00">
        <w:rPr>
          <w:lang w:val="en-GB"/>
        </w:rPr>
        <w:t>papers that</w:t>
      </w:r>
      <w:r w:rsidR="00613708">
        <w:rPr>
          <w:lang w:val="en-GB"/>
        </w:rPr>
        <w:t xml:space="preserve"> constitute the main readings for the course (see below for a full reading list).</w:t>
      </w:r>
    </w:p>
    <w:p w14:paraId="130004AC" w14:textId="77777777" w:rsidR="00046294" w:rsidRDefault="00046294" w:rsidP="00046294">
      <w:pPr>
        <w:pStyle w:val="Heading2"/>
        <w:rPr>
          <w:lang w:val="en-GB"/>
        </w:rPr>
      </w:pPr>
      <w:r>
        <w:rPr>
          <w:lang w:val="en-GB"/>
        </w:rPr>
        <w:t>Examination</w:t>
      </w:r>
    </w:p>
    <w:p w14:paraId="02BFECB1" w14:textId="77777777" w:rsidR="00613708" w:rsidRDefault="00613708" w:rsidP="00046294">
      <w:pPr>
        <w:rPr>
          <w:lang w:val="en-GB"/>
        </w:rPr>
      </w:pPr>
      <w:r>
        <w:rPr>
          <w:lang w:val="en-GB"/>
        </w:rPr>
        <w:t xml:space="preserve">Examination is done </w:t>
      </w:r>
      <w:r w:rsidR="00D47A00">
        <w:rPr>
          <w:lang w:val="en-GB"/>
        </w:rPr>
        <w:t>through</w:t>
      </w:r>
      <w:r>
        <w:rPr>
          <w:lang w:val="en-GB"/>
        </w:rPr>
        <w:t xml:space="preserve"> the following:</w:t>
      </w:r>
    </w:p>
    <w:p w14:paraId="17E7EA3E" w14:textId="5EA90785" w:rsidR="00046294" w:rsidRPr="00613708" w:rsidRDefault="00630BDF" w:rsidP="00613708">
      <w:pPr>
        <w:pStyle w:val="ListParagraph"/>
        <w:numPr>
          <w:ilvl w:val="0"/>
          <w:numId w:val="12"/>
        </w:numPr>
        <w:rPr>
          <w:lang w:val="en-GB"/>
        </w:rPr>
      </w:pPr>
      <w:r>
        <w:rPr>
          <w:lang w:val="en-GB"/>
        </w:rPr>
        <w:t>Active participation in mandatory</w:t>
      </w:r>
      <w:r w:rsidR="00A02C7C">
        <w:rPr>
          <w:lang w:val="en-GB"/>
        </w:rPr>
        <w:t xml:space="preserve"> seminars </w:t>
      </w:r>
      <w:r w:rsidR="00660F2B" w:rsidRPr="00613708">
        <w:rPr>
          <w:lang w:val="en-GB"/>
        </w:rPr>
        <w:t>(see the schedule for further details).</w:t>
      </w:r>
      <w:r w:rsidR="00592689" w:rsidRPr="00613708">
        <w:rPr>
          <w:lang w:val="en-GB"/>
        </w:rPr>
        <w:t xml:space="preserve"> Active preparations are mandatory for each follow-up seminar (see below).</w:t>
      </w:r>
    </w:p>
    <w:p w14:paraId="3711F8E2" w14:textId="77777777" w:rsidR="00613708" w:rsidRDefault="00613708" w:rsidP="00046294">
      <w:pPr>
        <w:pStyle w:val="ListParagraph"/>
        <w:numPr>
          <w:ilvl w:val="0"/>
          <w:numId w:val="12"/>
        </w:numPr>
        <w:rPr>
          <w:lang w:val="en-GB"/>
        </w:rPr>
      </w:pPr>
      <w:r>
        <w:rPr>
          <w:lang w:val="en-GB"/>
        </w:rPr>
        <w:t>Written t</w:t>
      </w:r>
      <w:r w:rsidR="00660F2B" w:rsidRPr="00613708">
        <w:rPr>
          <w:lang w:val="en-GB"/>
        </w:rPr>
        <w:t>erm paper</w:t>
      </w:r>
    </w:p>
    <w:p w14:paraId="4785D4F6" w14:textId="77777777" w:rsidR="00660F2B" w:rsidRPr="00613708" w:rsidRDefault="00660F2B" w:rsidP="00046294">
      <w:pPr>
        <w:pStyle w:val="ListParagraph"/>
        <w:numPr>
          <w:ilvl w:val="0"/>
          <w:numId w:val="12"/>
        </w:numPr>
        <w:rPr>
          <w:lang w:val="en-GB"/>
        </w:rPr>
      </w:pPr>
      <w:r w:rsidRPr="00613708">
        <w:rPr>
          <w:lang w:val="en-GB"/>
        </w:rPr>
        <w:t>Written exam</w:t>
      </w:r>
    </w:p>
    <w:p w14:paraId="7447B98E" w14:textId="77777777" w:rsidR="00660F2B" w:rsidRDefault="00592689" w:rsidP="00592689">
      <w:pPr>
        <w:pStyle w:val="Heading2"/>
        <w:rPr>
          <w:lang w:val="en-GB"/>
        </w:rPr>
      </w:pPr>
      <w:r>
        <w:rPr>
          <w:lang w:val="en-GB"/>
        </w:rPr>
        <w:lastRenderedPageBreak/>
        <w:t>Follow-up seminars</w:t>
      </w:r>
    </w:p>
    <w:p w14:paraId="7EA674C4" w14:textId="77777777" w:rsidR="00FA369A" w:rsidRDefault="00592689" w:rsidP="00592689">
      <w:pPr>
        <w:rPr>
          <w:lang w:val="en-GB"/>
        </w:rPr>
      </w:pPr>
      <w:r>
        <w:rPr>
          <w:lang w:val="en-GB"/>
        </w:rPr>
        <w:t>The review of each topic is followed by a follow-up seminar; the course contains</w:t>
      </w:r>
      <w:r w:rsidR="00613708">
        <w:rPr>
          <w:lang w:val="en-GB"/>
        </w:rPr>
        <w:t xml:space="preserve"> of</w:t>
      </w:r>
      <w:r>
        <w:rPr>
          <w:lang w:val="en-GB"/>
        </w:rPr>
        <w:t xml:space="preserve"> a total of four follow-up seminars. The purpose of the follow-up seminars is to enable discussion about central papers in each topic and how they </w:t>
      </w:r>
      <w:r w:rsidR="00613708">
        <w:rPr>
          <w:lang w:val="en-GB"/>
        </w:rPr>
        <w:t>contribute</w:t>
      </w:r>
      <w:r>
        <w:rPr>
          <w:lang w:val="en-GB"/>
        </w:rPr>
        <w:t xml:space="preserve"> to tackling current challenges in agriculture.</w:t>
      </w:r>
      <w:r w:rsidR="00FA369A">
        <w:rPr>
          <w:lang w:val="en-GB"/>
        </w:rPr>
        <w:t xml:space="preserve"> </w:t>
      </w:r>
    </w:p>
    <w:p w14:paraId="52DA90E4" w14:textId="77777777" w:rsidR="00592689" w:rsidRDefault="00592689" w:rsidP="00592689">
      <w:pPr>
        <w:rPr>
          <w:lang w:val="en-GB"/>
        </w:rPr>
      </w:pPr>
      <w:r>
        <w:rPr>
          <w:lang w:val="en-GB"/>
        </w:rPr>
        <w:t>In preparation to the follow-up seminars, each student should:</w:t>
      </w:r>
    </w:p>
    <w:p w14:paraId="25F56740" w14:textId="77777777" w:rsidR="00FA369A" w:rsidRDefault="00FA369A" w:rsidP="00C91D8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Summarize the main ideas of each paper</w:t>
      </w:r>
      <w:r w:rsidR="00613708">
        <w:rPr>
          <w:lang w:val="en-GB"/>
        </w:rPr>
        <w:t xml:space="preserve"> indicated in the reading list for each topic</w:t>
      </w:r>
      <w:r w:rsidR="00C91D82">
        <w:rPr>
          <w:lang w:val="en-GB"/>
        </w:rPr>
        <w:t>.</w:t>
      </w:r>
      <w:r w:rsidR="00592689">
        <w:rPr>
          <w:lang w:val="en-GB"/>
        </w:rPr>
        <w:t xml:space="preserve"> </w:t>
      </w:r>
      <w:r w:rsidR="00C91D82">
        <w:rPr>
          <w:lang w:val="en-GB"/>
        </w:rPr>
        <w:t>(about 1/2 A4-page per paper)</w:t>
      </w:r>
    </w:p>
    <w:p w14:paraId="5286D5B8" w14:textId="730D395A" w:rsidR="00FA369A" w:rsidRDefault="00FA369A" w:rsidP="00C91D8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Reflect on the usefulness of the topic in contributing to </w:t>
      </w:r>
      <w:r w:rsidR="00C91D82">
        <w:rPr>
          <w:lang w:val="en-GB"/>
        </w:rPr>
        <w:t xml:space="preserve">solving </w:t>
      </w:r>
      <w:r>
        <w:rPr>
          <w:lang w:val="en-GB"/>
        </w:rPr>
        <w:t xml:space="preserve">current </w:t>
      </w:r>
      <w:r w:rsidR="00A02C7C">
        <w:rPr>
          <w:lang w:val="en-GB"/>
        </w:rPr>
        <w:t xml:space="preserve"> sustainability </w:t>
      </w:r>
      <w:r>
        <w:rPr>
          <w:lang w:val="en-GB"/>
        </w:rPr>
        <w:t>challenges in agriculture, including which challenges can be tackled and not.</w:t>
      </w:r>
      <w:r w:rsidR="00C91D82">
        <w:rPr>
          <w:lang w:val="en-GB"/>
        </w:rPr>
        <w:t xml:space="preserve"> (about 1/2 – 1 A4-page in total)</w:t>
      </w:r>
    </w:p>
    <w:p w14:paraId="19C1DB06" w14:textId="77777777" w:rsidR="00C91D82" w:rsidRDefault="00C91D82" w:rsidP="00C91D8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Three students per seminar will be asked to prepare a 10 – 15 minutes presentation of one paper each.</w:t>
      </w:r>
    </w:p>
    <w:p w14:paraId="3CFC2D3A" w14:textId="77777777" w:rsidR="00C91D82" w:rsidRDefault="00C91D82" w:rsidP="00C91D82">
      <w:pPr>
        <w:rPr>
          <w:lang w:val="en-GB"/>
        </w:rPr>
      </w:pPr>
      <w:r>
        <w:rPr>
          <w:lang w:val="en-GB"/>
        </w:rPr>
        <w:t>The follow-up seminars consists of three modules:</w:t>
      </w:r>
    </w:p>
    <w:p w14:paraId="315FDED1" w14:textId="77777777" w:rsidR="00C91D82" w:rsidRDefault="00C91D82" w:rsidP="00C91D82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Presentation of the three selected papers.</w:t>
      </w:r>
    </w:p>
    <w:p w14:paraId="45F3BC1C" w14:textId="77777777" w:rsidR="00C91D82" w:rsidRDefault="00C91D82" w:rsidP="00C91D82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Discussion in small groups about the benefits and limitations of the topic.</w:t>
      </w:r>
    </w:p>
    <w:p w14:paraId="32846340" w14:textId="77777777" w:rsidR="00C91D82" w:rsidRDefault="00C91D82" w:rsidP="00C91D82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Discussion in class.</w:t>
      </w:r>
    </w:p>
    <w:p w14:paraId="1BE0695E" w14:textId="77777777" w:rsidR="00D47A00" w:rsidRPr="00D47A00" w:rsidRDefault="00D47A00" w:rsidP="00D47A00">
      <w:pPr>
        <w:rPr>
          <w:lang w:val="en-GB"/>
        </w:rPr>
      </w:pPr>
      <w:r>
        <w:rPr>
          <w:lang w:val="en-GB"/>
        </w:rPr>
        <w:t>The written seminar assignments must be uploaded to Canvas before the seminar.</w:t>
      </w:r>
    </w:p>
    <w:p w14:paraId="3C64CE22" w14:textId="77777777" w:rsidR="00A02C7C" w:rsidRDefault="00A02C7C" w:rsidP="00A02C7C">
      <w:pPr>
        <w:pStyle w:val="Heading2"/>
        <w:rPr>
          <w:lang w:val="en-GB"/>
        </w:rPr>
      </w:pPr>
      <w:r>
        <w:rPr>
          <w:lang w:val="en-GB"/>
        </w:rPr>
        <w:t>Written exam</w:t>
      </w:r>
    </w:p>
    <w:p w14:paraId="0244CC77" w14:textId="47282C11" w:rsidR="00A02C7C" w:rsidRPr="00A11332" w:rsidRDefault="00A02C7C" w:rsidP="00A02C7C">
      <w:pPr>
        <w:rPr>
          <w:lang w:val="en-GB"/>
        </w:rPr>
      </w:pPr>
      <w:r>
        <w:rPr>
          <w:lang w:val="en-GB"/>
        </w:rPr>
        <w:t>A brief written exam, based on the topics covered in the course.</w:t>
      </w:r>
    </w:p>
    <w:p w14:paraId="0B36E9D5" w14:textId="77777777" w:rsidR="00FA369A" w:rsidRDefault="00C91D82" w:rsidP="00C91D82">
      <w:pPr>
        <w:pStyle w:val="Heading2"/>
        <w:rPr>
          <w:lang w:val="en-GB"/>
        </w:rPr>
      </w:pPr>
      <w:proofErr w:type="gramStart"/>
      <w:r>
        <w:rPr>
          <w:lang w:val="en-GB"/>
        </w:rPr>
        <w:t>Term  paper</w:t>
      </w:r>
      <w:proofErr w:type="gramEnd"/>
    </w:p>
    <w:p w14:paraId="54B54A13" w14:textId="77777777" w:rsidR="00A11332" w:rsidRDefault="00C91D82" w:rsidP="00C91D82">
      <w:pPr>
        <w:rPr>
          <w:lang w:val="en-GB"/>
        </w:rPr>
      </w:pPr>
      <w:r>
        <w:rPr>
          <w:lang w:val="en-GB"/>
        </w:rPr>
        <w:t>During the course, each student will prepare an</w:t>
      </w:r>
      <w:r w:rsidR="00A11332">
        <w:rPr>
          <w:lang w:val="en-GB"/>
        </w:rPr>
        <w:t xml:space="preserve"> individual term paper in the form of a research proposal related to any of the topics covered in the course. The research proposal should consist of the following parts:</w:t>
      </w:r>
    </w:p>
    <w:p w14:paraId="49E78F7F" w14:textId="77777777" w:rsidR="00A11332" w:rsidRDefault="00A11332" w:rsidP="00A1133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General introduction to the topic, problem formulation, aim and research question(s).</w:t>
      </w:r>
    </w:p>
    <w:p w14:paraId="5378D7BF" w14:textId="77777777" w:rsidR="00A11332" w:rsidRDefault="00A11332" w:rsidP="00A1133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Brief overview of related literature.</w:t>
      </w:r>
    </w:p>
    <w:p w14:paraId="5DF9A7B5" w14:textId="77777777" w:rsidR="00A11332" w:rsidRDefault="00A11332" w:rsidP="00A1133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Suggested approach/method</w:t>
      </w:r>
    </w:p>
    <w:p w14:paraId="4DA3A51E" w14:textId="77777777" w:rsidR="00A11332" w:rsidRDefault="00A11332" w:rsidP="00A11332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References</w:t>
      </w:r>
    </w:p>
    <w:p w14:paraId="1A024BFD" w14:textId="77777777" w:rsidR="00A11332" w:rsidRPr="00A11332" w:rsidRDefault="00A11332" w:rsidP="00A11332">
      <w:pPr>
        <w:rPr>
          <w:lang w:val="en-GB"/>
        </w:rPr>
      </w:pPr>
      <w:r>
        <w:rPr>
          <w:lang w:val="en-GB"/>
        </w:rPr>
        <w:t>The research proposal an excellent opportunity to formulate an idea to explore further in the master thesis.</w:t>
      </w:r>
    </w:p>
    <w:p w14:paraId="278CBA60" w14:textId="77777777" w:rsidR="00C91D82" w:rsidRDefault="00C91D82" w:rsidP="001D3CC5">
      <w:pPr>
        <w:pStyle w:val="Heading2"/>
        <w:rPr>
          <w:lang w:val="en-GB"/>
        </w:rPr>
      </w:pPr>
    </w:p>
    <w:p w14:paraId="5CD6CA11" w14:textId="77777777" w:rsidR="001D3CC5" w:rsidRDefault="00EC58E6" w:rsidP="001D3CC5">
      <w:pPr>
        <w:pStyle w:val="Heading2"/>
        <w:rPr>
          <w:lang w:val="en-GB"/>
        </w:rPr>
      </w:pPr>
      <w:r>
        <w:rPr>
          <w:lang w:val="en-GB"/>
        </w:rPr>
        <w:t>Grading criteria</w:t>
      </w:r>
    </w:p>
    <w:p w14:paraId="3712DC2C" w14:textId="77777777" w:rsidR="00EC58E6" w:rsidRDefault="00EC58E6" w:rsidP="001D3CC5">
      <w:pPr>
        <w:rPr>
          <w:lang w:val="en-GB"/>
        </w:rPr>
      </w:pPr>
      <w:r>
        <w:rPr>
          <w:lang w:val="en-GB"/>
        </w:rPr>
        <w:t>To obtain grade “3”, the student should be able to:</w:t>
      </w:r>
    </w:p>
    <w:p w14:paraId="7EA58438" w14:textId="36E9955C" w:rsidR="00EC58E6" w:rsidRDefault="00371071" w:rsidP="00EC58E6">
      <w:pPr>
        <w:pStyle w:val="Heading2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3710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-understand, summarize and discuss current research themes in agricultural economics</w:t>
      </w:r>
      <w:r w:rsidRPr="00371071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  <w:r w:rsidRPr="003710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- critically </w:t>
      </w:r>
      <w:proofErr w:type="spellStart"/>
      <w:r w:rsidRPr="003710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analyze</w:t>
      </w:r>
      <w:proofErr w:type="spellEnd"/>
      <w:r w:rsidRPr="003710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how current research themes in agricultural economics contribute to solving current problems within the food system, with a focus on sustainability challenges</w:t>
      </w:r>
      <w:r w:rsidRPr="00371071">
        <w:rPr>
          <w:rFonts w:asciiTheme="minorHAnsi" w:hAnsiTheme="minorHAnsi" w:cstheme="minorHAnsi"/>
          <w:color w:val="000000"/>
          <w:sz w:val="22"/>
          <w:szCs w:val="22"/>
          <w:lang w:val="en-GB"/>
        </w:rPr>
        <w:br/>
      </w:r>
      <w:r w:rsidRPr="003710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- propose and motivate a research question, including methodological approach in agricultural economics, with relevance to sustainability challenges within the food system.</w:t>
      </w:r>
    </w:p>
    <w:p w14:paraId="3A13C037" w14:textId="77777777" w:rsidR="00371071" w:rsidRPr="00371071" w:rsidRDefault="00371071" w:rsidP="00371071">
      <w:pPr>
        <w:rPr>
          <w:lang w:val="en-GB"/>
        </w:rPr>
      </w:pPr>
    </w:p>
    <w:p w14:paraId="2ECE5E8B" w14:textId="77777777" w:rsidR="001D3CC5" w:rsidRDefault="001D3CC5" w:rsidP="001D3CC5">
      <w:pPr>
        <w:rPr>
          <w:lang w:val="en-GB"/>
        </w:rPr>
      </w:pPr>
      <w:r>
        <w:rPr>
          <w:lang w:val="en-GB"/>
        </w:rPr>
        <w:t>To obtain grade “4” the students should be able to demonstrate good knowledge and skills in relation to the requirements for grade “3”.</w:t>
      </w:r>
    </w:p>
    <w:p w14:paraId="3E0DBA43" w14:textId="77777777" w:rsidR="001D3CC5" w:rsidRDefault="001D3CC5" w:rsidP="001D3CC5">
      <w:pPr>
        <w:rPr>
          <w:lang w:val="en-GB"/>
        </w:rPr>
      </w:pPr>
    </w:p>
    <w:p w14:paraId="2FAF65EC" w14:textId="77777777" w:rsidR="001D3CC5" w:rsidRDefault="001D3CC5" w:rsidP="001D3CC5">
      <w:pPr>
        <w:rPr>
          <w:lang w:val="en-GB"/>
        </w:rPr>
      </w:pPr>
      <w:r>
        <w:rPr>
          <w:lang w:val="en-GB"/>
        </w:rPr>
        <w:t>To obtain grade “5” the students should be able to demonstrate very good knowledge and skills in relation to the requirements for grade “3”.</w:t>
      </w:r>
    </w:p>
    <w:p w14:paraId="76E5D072" w14:textId="3C18CD34" w:rsidR="001D3CC5" w:rsidRDefault="001D3CC5" w:rsidP="001D3CC5">
      <w:pPr>
        <w:rPr>
          <w:lang w:val="en-GB"/>
        </w:rPr>
      </w:pPr>
      <w:r>
        <w:rPr>
          <w:lang w:val="en-GB"/>
        </w:rPr>
        <w:t xml:space="preserve">The exams will be graded, using the following intervals: Grade “3”: at least 60% of the total </w:t>
      </w:r>
      <w:r w:rsidR="00933BF3">
        <w:rPr>
          <w:lang w:val="en-GB"/>
        </w:rPr>
        <w:t>points</w:t>
      </w:r>
      <w:r>
        <w:rPr>
          <w:lang w:val="en-GB"/>
        </w:rPr>
        <w:t xml:space="preserve"> at the exam; grade “4”: at least 75% of the total </w:t>
      </w:r>
      <w:r w:rsidR="00933BF3">
        <w:rPr>
          <w:lang w:val="en-GB"/>
        </w:rPr>
        <w:t>points</w:t>
      </w:r>
      <w:r>
        <w:rPr>
          <w:lang w:val="en-GB"/>
        </w:rPr>
        <w:t xml:space="preserve"> at the exam; grade “5”: at least 90% of the total </w:t>
      </w:r>
      <w:r w:rsidR="005C15DB">
        <w:rPr>
          <w:lang w:val="en-GB"/>
        </w:rPr>
        <w:t>p</w:t>
      </w:r>
      <w:r w:rsidR="00933BF3">
        <w:rPr>
          <w:lang w:val="en-GB"/>
        </w:rPr>
        <w:t>oints</w:t>
      </w:r>
      <w:r>
        <w:rPr>
          <w:lang w:val="en-GB"/>
        </w:rPr>
        <w:t xml:space="preserve"> at the exam.</w:t>
      </w:r>
    </w:p>
    <w:p w14:paraId="697A8AB7" w14:textId="77777777" w:rsidR="001D3CC5" w:rsidRDefault="001D3CC5" w:rsidP="001D3CC5">
      <w:pPr>
        <w:rPr>
          <w:lang w:val="en-GB"/>
        </w:rPr>
      </w:pPr>
      <w:r>
        <w:rPr>
          <w:lang w:val="en-GB"/>
        </w:rPr>
        <w:t>The term papers will be graded, using the following intervals: fail, pass and pass with distinction using the learning outcomes of the course as a basis for the grading.</w:t>
      </w:r>
    </w:p>
    <w:p w14:paraId="1D287E80" w14:textId="77777777" w:rsidR="001D3CC5" w:rsidRPr="00025FFF" w:rsidRDefault="001D3CC5" w:rsidP="001D3CC5">
      <w:pPr>
        <w:rPr>
          <w:b/>
          <w:lang w:val="en-GB"/>
        </w:rPr>
      </w:pPr>
      <w:r w:rsidRPr="00025FFF">
        <w:rPr>
          <w:b/>
          <w:lang w:val="en-GB"/>
        </w:rPr>
        <w:t>The final grade at the course is determined according to the following:</w:t>
      </w:r>
    </w:p>
    <w:p w14:paraId="3589BD2E" w14:textId="0AEF8611" w:rsidR="00F34C77" w:rsidRDefault="001D3CC5" w:rsidP="001D3CC5">
      <w:pPr>
        <w:rPr>
          <w:lang w:val="en-GB"/>
        </w:rPr>
      </w:pPr>
      <w:r>
        <w:rPr>
          <w:lang w:val="en-GB"/>
        </w:rPr>
        <w:t>Grade “3”: Exam: grade 3</w:t>
      </w:r>
      <w:r w:rsidR="00F34C77">
        <w:rPr>
          <w:lang w:val="en-GB"/>
        </w:rPr>
        <w:t xml:space="preserve">, term paper: at least pass, seminars: passed seminar assignments and active participation </w:t>
      </w:r>
      <w:r w:rsidR="00630BDF">
        <w:rPr>
          <w:lang w:val="en-GB"/>
        </w:rPr>
        <w:t>in mandatory seminars.</w:t>
      </w:r>
    </w:p>
    <w:p w14:paraId="002B6EE6" w14:textId="02B3D6EC" w:rsidR="00F34C77" w:rsidRDefault="00F34C77" w:rsidP="00F34C77">
      <w:pPr>
        <w:rPr>
          <w:lang w:val="en-GB"/>
        </w:rPr>
      </w:pPr>
      <w:r>
        <w:rPr>
          <w:lang w:val="en-GB"/>
        </w:rPr>
        <w:t>Grade “</w:t>
      </w:r>
      <w:r w:rsidR="005C15DB">
        <w:rPr>
          <w:lang w:val="en-GB"/>
        </w:rPr>
        <w:t>4”: Exam: grade 4, term paper: at least pass</w:t>
      </w:r>
      <w:r>
        <w:rPr>
          <w:lang w:val="en-GB"/>
        </w:rPr>
        <w:t>,</w:t>
      </w:r>
      <w:r w:rsidR="005C15DB">
        <w:rPr>
          <w:lang w:val="en-GB"/>
        </w:rPr>
        <w:t xml:space="preserve"> OR written exam grade 3 and term paper pass with distinction.</w:t>
      </w:r>
      <w:r>
        <w:rPr>
          <w:lang w:val="en-GB"/>
        </w:rPr>
        <w:t xml:space="preserve"> </w:t>
      </w:r>
      <w:r w:rsidR="005C15DB">
        <w:rPr>
          <w:lang w:val="en-GB"/>
        </w:rPr>
        <w:t>S</w:t>
      </w:r>
      <w:r>
        <w:rPr>
          <w:lang w:val="en-GB"/>
        </w:rPr>
        <w:t xml:space="preserve">eminars: passed seminar assignments and active participation </w:t>
      </w:r>
      <w:r w:rsidR="00630BDF">
        <w:rPr>
          <w:lang w:val="en-GB"/>
        </w:rPr>
        <w:t>in mandatory seminars.</w:t>
      </w:r>
    </w:p>
    <w:p w14:paraId="1D4A1139" w14:textId="00549D11" w:rsidR="00F34C77" w:rsidRDefault="00F34C77" w:rsidP="00F34C77">
      <w:pPr>
        <w:rPr>
          <w:lang w:val="en-GB"/>
        </w:rPr>
      </w:pPr>
      <w:r>
        <w:rPr>
          <w:lang w:val="en-GB"/>
        </w:rPr>
        <w:t xml:space="preserve">Grade “5”: Exam: grade 5, term paper: pass with distinction, seminars: passed seminar assignments and active participation </w:t>
      </w:r>
      <w:r w:rsidR="00630BDF">
        <w:rPr>
          <w:lang w:val="en-GB"/>
        </w:rPr>
        <w:t>in mandatory seminars.</w:t>
      </w:r>
    </w:p>
    <w:p w14:paraId="355EC1B5" w14:textId="17E23656" w:rsidR="00933BF3" w:rsidRDefault="00933BF3" w:rsidP="00F34C77">
      <w:pPr>
        <w:rPr>
          <w:lang w:val="en-GB"/>
        </w:rPr>
      </w:pPr>
      <w:r>
        <w:rPr>
          <w:lang w:val="en-GB"/>
        </w:rPr>
        <w:t>Grade “4” and “5” can only be obtained at the first</w:t>
      </w:r>
      <w:r w:rsidR="00914196">
        <w:rPr>
          <w:lang w:val="en-GB"/>
        </w:rPr>
        <w:t xml:space="preserve"> </w:t>
      </w:r>
      <w:r>
        <w:rPr>
          <w:lang w:val="en-GB"/>
        </w:rPr>
        <w:t>exam and the first re-exam offered by SLU.</w:t>
      </w:r>
    </w:p>
    <w:p w14:paraId="3D837CDE" w14:textId="77777777" w:rsidR="00F34C77" w:rsidRDefault="00F34C77" w:rsidP="00F34C77">
      <w:pPr>
        <w:rPr>
          <w:lang w:val="en-GB"/>
        </w:rPr>
      </w:pPr>
    </w:p>
    <w:p w14:paraId="6EF3C74A" w14:textId="77777777" w:rsidR="00630BDF" w:rsidRDefault="001D3CC5" w:rsidP="001D3CC5">
      <w:pPr>
        <w:rPr>
          <w:lang w:val="en-GB"/>
        </w:rPr>
        <w:sectPr w:rsidR="00630BD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en-GB"/>
        </w:rPr>
        <w:t xml:space="preserve">  </w:t>
      </w:r>
    </w:p>
    <w:p w14:paraId="012B7E02" w14:textId="608D6803" w:rsidR="00371071" w:rsidRDefault="00371071" w:rsidP="001D3CC5">
      <w:pPr>
        <w:rPr>
          <w:lang w:val="en-GB"/>
        </w:rPr>
      </w:pPr>
    </w:p>
    <w:tbl>
      <w:tblPr>
        <w:tblStyle w:val="PlainTable3"/>
        <w:tblW w:w="14788" w:type="dxa"/>
        <w:tblLook w:val="04A0" w:firstRow="1" w:lastRow="0" w:firstColumn="1" w:lastColumn="0" w:noHBand="0" w:noVBand="1"/>
      </w:tblPr>
      <w:tblGrid>
        <w:gridCol w:w="1134"/>
        <w:gridCol w:w="1269"/>
        <w:gridCol w:w="1420"/>
        <w:gridCol w:w="1185"/>
        <w:gridCol w:w="960"/>
        <w:gridCol w:w="960"/>
        <w:gridCol w:w="154"/>
        <w:gridCol w:w="3305"/>
        <w:gridCol w:w="241"/>
        <w:gridCol w:w="2200"/>
        <w:gridCol w:w="1960"/>
      </w:tblGrid>
      <w:tr w:rsidR="006315B5" w:rsidRPr="00197B65" w14:paraId="15F81277" w14:textId="77777777" w:rsidTr="007B7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8" w:type="dxa"/>
            <w:gridSpan w:val="5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14:paraId="29A31142" w14:textId="77777777" w:rsidR="006315B5" w:rsidRDefault="006315B5" w:rsidP="007B7C0A">
            <w:pPr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Topics in agricultural economics for sustainable development, NA0197</w:t>
            </w:r>
          </w:p>
          <w:p w14:paraId="6FD9D622" w14:textId="77777777" w:rsidR="006315B5" w:rsidRDefault="006315B5" w:rsidP="007B7C0A">
            <w:pPr>
              <w:rPr>
                <w:rFonts w:eastAsia="Times New Roman" w:cstheme="minorHAnsi"/>
                <w:color w:val="000000"/>
                <w:lang w:val="en-GB" w:eastAsia="sv-SE"/>
              </w:rPr>
            </w:pPr>
          </w:p>
          <w:p w14:paraId="12F8C94B" w14:textId="77777777" w:rsidR="006315B5" w:rsidRPr="00512C92" w:rsidRDefault="006315B5" w:rsidP="007B7C0A">
            <w:pPr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2024-11-01 – 2025-01-19</w:t>
            </w:r>
          </w:p>
        </w:tc>
        <w:tc>
          <w:tcPr>
            <w:tcW w:w="4660" w:type="dxa"/>
            <w:gridSpan w:val="4"/>
            <w:tcBorders>
              <w:bottom w:val="none" w:sz="0" w:space="0" w:color="auto"/>
            </w:tcBorders>
            <w:noWrap/>
            <w:hideMark/>
          </w:tcPr>
          <w:p w14:paraId="6D4F0E4C" w14:textId="77777777" w:rsidR="006315B5" w:rsidRPr="00512C92" w:rsidRDefault="006315B5" w:rsidP="007B7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 xml:space="preserve"> Preliminary schedule </w:t>
            </w:r>
            <w:r>
              <w:rPr>
                <w:rFonts w:eastAsia="Times New Roman" w:cstheme="minorHAnsi"/>
                <w:i/>
                <w:color w:val="000000"/>
                <w:lang w:val="en-GB" w:eastAsia="sv-SE"/>
              </w:rPr>
              <w:t>version 2024 05 02</w:t>
            </w:r>
          </w:p>
        </w:tc>
        <w:tc>
          <w:tcPr>
            <w:tcW w:w="2200" w:type="dxa"/>
            <w:tcBorders>
              <w:bottom w:val="none" w:sz="0" w:space="0" w:color="auto"/>
            </w:tcBorders>
            <w:noWrap/>
            <w:hideMark/>
          </w:tcPr>
          <w:p w14:paraId="0CE46177" w14:textId="77777777" w:rsidR="006315B5" w:rsidRPr="00512C92" w:rsidRDefault="006315B5" w:rsidP="007B7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1960" w:type="dxa"/>
            <w:tcBorders>
              <w:bottom w:val="none" w:sz="0" w:space="0" w:color="auto"/>
            </w:tcBorders>
            <w:noWrap/>
            <w:hideMark/>
          </w:tcPr>
          <w:p w14:paraId="307BBC6B" w14:textId="77777777" w:rsidR="006315B5" w:rsidRPr="00512C92" w:rsidRDefault="006315B5" w:rsidP="007B7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6315B5" w:rsidRPr="00512C92" w14:paraId="0F97B17B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68E91E8B" w14:textId="77777777" w:rsidR="006315B5" w:rsidRPr="00512C92" w:rsidRDefault="006315B5" w:rsidP="007B7C0A">
            <w:pPr>
              <w:rPr>
                <w:rFonts w:eastAsia="Times New Roman" w:cstheme="minorHAnsi"/>
                <w:i/>
                <w:iCs/>
                <w:color w:val="000000"/>
                <w:lang w:val="en-GB" w:eastAsia="sv-SE"/>
              </w:rPr>
            </w:pPr>
          </w:p>
        </w:tc>
        <w:tc>
          <w:tcPr>
            <w:tcW w:w="1269" w:type="dxa"/>
            <w:noWrap/>
            <w:hideMark/>
          </w:tcPr>
          <w:p w14:paraId="5245A6FE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1420" w:type="dxa"/>
            <w:noWrap/>
            <w:hideMark/>
          </w:tcPr>
          <w:p w14:paraId="552438B6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1185" w:type="dxa"/>
            <w:noWrap/>
            <w:hideMark/>
          </w:tcPr>
          <w:p w14:paraId="69A0812C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960" w:type="dxa"/>
            <w:noWrap/>
            <w:hideMark/>
          </w:tcPr>
          <w:p w14:paraId="4D8853C5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960" w:type="dxa"/>
            <w:noWrap/>
            <w:hideMark/>
          </w:tcPr>
          <w:p w14:paraId="02027DCB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3459" w:type="dxa"/>
            <w:gridSpan w:val="2"/>
            <w:noWrap/>
            <w:hideMark/>
          </w:tcPr>
          <w:p w14:paraId="34A08454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41" w:type="dxa"/>
            <w:noWrap/>
            <w:hideMark/>
          </w:tcPr>
          <w:p w14:paraId="0D014B1C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  <w:hideMark/>
          </w:tcPr>
          <w:p w14:paraId="05AB2B52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512C92">
              <w:rPr>
                <w:rFonts w:eastAsia="Times New Roman" w:cstheme="minorHAnsi"/>
                <w:color w:val="000000"/>
                <w:lang w:eastAsia="sv-SE"/>
              </w:rPr>
              <w:t>Teacher</w:t>
            </w:r>
            <w:proofErr w:type="spellEnd"/>
          </w:p>
        </w:tc>
        <w:tc>
          <w:tcPr>
            <w:tcW w:w="1960" w:type="dxa"/>
            <w:noWrap/>
            <w:hideMark/>
          </w:tcPr>
          <w:p w14:paraId="12A99A78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512C92">
              <w:rPr>
                <w:rFonts w:eastAsia="Times New Roman" w:cstheme="minorHAnsi"/>
                <w:color w:val="000000"/>
                <w:lang w:eastAsia="sv-SE"/>
              </w:rPr>
              <w:t>Room</w:t>
            </w:r>
            <w:proofErr w:type="spellEnd"/>
          </w:p>
        </w:tc>
      </w:tr>
      <w:tr w:rsidR="006315B5" w:rsidRPr="00512C92" w14:paraId="3108D678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498084E3" w14:textId="77777777" w:rsidR="006315B5" w:rsidRPr="00512C92" w:rsidRDefault="006315B5" w:rsidP="007B7C0A">
            <w:pPr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04 nOV</w:t>
            </w:r>
          </w:p>
        </w:tc>
        <w:tc>
          <w:tcPr>
            <w:tcW w:w="1269" w:type="dxa"/>
            <w:noWrap/>
            <w:hideMark/>
          </w:tcPr>
          <w:p w14:paraId="6276E40F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Monday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06180D5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15-12.00</w:t>
            </w:r>
          </w:p>
        </w:tc>
        <w:tc>
          <w:tcPr>
            <w:tcW w:w="6564" w:type="dxa"/>
            <w:gridSpan w:val="5"/>
            <w:noWrap/>
            <w:hideMark/>
          </w:tcPr>
          <w:p w14:paraId="63C54A34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 xml:space="preserve">Course </w:t>
            </w:r>
            <w:proofErr w:type="spellStart"/>
            <w:r w:rsidRPr="00512C92">
              <w:rPr>
                <w:rFonts w:eastAsia="Times New Roman" w:cstheme="minorHAnsi"/>
                <w:color w:val="000000"/>
                <w:lang w:eastAsia="sv-SE"/>
              </w:rPr>
              <w:t>introduction</w:t>
            </w:r>
            <w:proofErr w:type="spellEnd"/>
            <w:r w:rsidRPr="00512C92">
              <w:rPr>
                <w:rFonts w:eastAsia="Times New Roman" w:cstheme="minorHAnsi"/>
                <w:color w:val="000000"/>
                <w:lang w:eastAsia="sv-SE"/>
              </w:rPr>
              <w:t xml:space="preserve">, </w:t>
            </w:r>
            <w:proofErr w:type="spellStart"/>
            <w:r w:rsidRPr="00512C92">
              <w:rPr>
                <w:rFonts w:eastAsia="Times New Roman" w:cstheme="minorHAnsi"/>
                <w:color w:val="000000"/>
                <w:lang w:eastAsia="sv-SE"/>
              </w:rPr>
              <w:t>future</w:t>
            </w:r>
            <w:proofErr w:type="spellEnd"/>
            <w:r w:rsidRPr="00512C92">
              <w:rPr>
                <w:rFonts w:eastAsia="Times New Roman" w:cstheme="minorHAnsi"/>
                <w:color w:val="000000"/>
                <w:lang w:eastAsia="sv-SE"/>
              </w:rPr>
              <w:t xml:space="preserve"> scenarios</w:t>
            </w:r>
          </w:p>
        </w:tc>
        <w:tc>
          <w:tcPr>
            <w:tcW w:w="241" w:type="dxa"/>
            <w:noWrap/>
            <w:hideMark/>
          </w:tcPr>
          <w:p w14:paraId="22BC872E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200" w:type="dxa"/>
            <w:noWrap/>
            <w:hideMark/>
          </w:tcPr>
          <w:p w14:paraId="359AC4D5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>Helena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Hansson</w:t>
            </w:r>
          </w:p>
        </w:tc>
        <w:tc>
          <w:tcPr>
            <w:tcW w:w="1960" w:type="dxa"/>
            <w:noWrap/>
          </w:tcPr>
          <w:p w14:paraId="0D7DE00C" w14:textId="77777777" w:rsidR="006315B5" w:rsidRPr="0055616C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0A0628F3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3B189695" w14:textId="77777777" w:rsidR="006315B5" w:rsidRPr="00512C92" w:rsidRDefault="006315B5" w:rsidP="007B7C0A">
            <w:pPr>
              <w:jc w:val="center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05 nOV</w:t>
            </w:r>
          </w:p>
        </w:tc>
        <w:tc>
          <w:tcPr>
            <w:tcW w:w="1269" w:type="dxa"/>
            <w:noWrap/>
            <w:hideMark/>
          </w:tcPr>
          <w:p w14:paraId="39559591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Tuesday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357A17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>9.15-12.00</w:t>
            </w:r>
          </w:p>
        </w:tc>
        <w:tc>
          <w:tcPr>
            <w:tcW w:w="6564" w:type="dxa"/>
            <w:gridSpan w:val="5"/>
            <w:noWrap/>
            <w:hideMark/>
          </w:tcPr>
          <w:p w14:paraId="73D8FD48" w14:textId="77777777" w:rsidR="006315B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</w:p>
          <w:p w14:paraId="6679AAD1" w14:textId="77777777" w:rsidR="006315B5" w:rsidRPr="00CD6F20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  <w:r>
              <w:rPr>
                <w:rFonts w:eastAsia="Times New Roman" w:cstheme="minorHAnsi"/>
                <w:color w:val="000000"/>
                <w:lang w:val="en-US" w:eastAsia="sv-SE"/>
              </w:rPr>
              <w:t xml:space="preserve">Topic 1: The food consumer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sv-SE"/>
              </w:rPr>
              <w:t>behaviour</w:t>
            </w:r>
            <w:proofErr w:type="spellEnd"/>
          </w:p>
        </w:tc>
        <w:tc>
          <w:tcPr>
            <w:tcW w:w="241" w:type="dxa"/>
            <w:noWrap/>
            <w:hideMark/>
          </w:tcPr>
          <w:p w14:paraId="649AF0E9" w14:textId="77777777" w:rsidR="006315B5" w:rsidRPr="00CD6F20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</w:p>
        </w:tc>
        <w:tc>
          <w:tcPr>
            <w:tcW w:w="2200" w:type="dxa"/>
            <w:noWrap/>
          </w:tcPr>
          <w:p w14:paraId="27190472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Anna Edenbrandt</w:t>
            </w:r>
          </w:p>
        </w:tc>
        <w:tc>
          <w:tcPr>
            <w:tcW w:w="1960" w:type="dxa"/>
            <w:noWrap/>
          </w:tcPr>
          <w:p w14:paraId="05CC4F2D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Zoom</w:t>
            </w:r>
          </w:p>
        </w:tc>
      </w:tr>
      <w:tr w:rsidR="006315B5" w:rsidRPr="00512C92" w14:paraId="00978942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8" w:type="dxa"/>
            <w:gridSpan w:val="9"/>
            <w:tcBorders>
              <w:right w:val="none" w:sz="0" w:space="0" w:color="auto"/>
            </w:tcBorders>
            <w:noWrap/>
            <w:hideMark/>
          </w:tcPr>
          <w:p w14:paraId="295D9D37" w14:textId="77777777" w:rsidR="006315B5" w:rsidRPr="00512C92" w:rsidRDefault="006315B5" w:rsidP="007B7C0A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  <w:hideMark/>
          </w:tcPr>
          <w:p w14:paraId="0764FD88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485F06E0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512C92" w14:paraId="270C6E0D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50796033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08 Nov</w:t>
            </w:r>
          </w:p>
        </w:tc>
        <w:tc>
          <w:tcPr>
            <w:tcW w:w="1269" w:type="dxa"/>
            <w:noWrap/>
            <w:hideMark/>
          </w:tcPr>
          <w:p w14:paraId="5B6C5959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Friday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6AC81F2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10.15-12.00</w:t>
            </w:r>
          </w:p>
        </w:tc>
        <w:tc>
          <w:tcPr>
            <w:tcW w:w="6564" w:type="dxa"/>
            <w:gridSpan w:val="5"/>
            <w:noWrap/>
            <w:hideMark/>
          </w:tcPr>
          <w:p w14:paraId="03022039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>Follow-up seminar:</w:t>
            </w:r>
            <w:r>
              <w:rPr>
                <w:rFonts w:eastAsia="Times New Roman" w:cstheme="minorHAnsi"/>
                <w:color w:val="000000"/>
                <w:lang w:val="en-GB" w:eastAsia="sv-SE"/>
              </w:rPr>
              <w:t xml:space="preserve"> Topics 1</w:t>
            </w: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>*</w:t>
            </w:r>
          </w:p>
        </w:tc>
        <w:tc>
          <w:tcPr>
            <w:tcW w:w="241" w:type="dxa"/>
            <w:noWrap/>
            <w:hideMark/>
          </w:tcPr>
          <w:p w14:paraId="039ACF2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6508BCBE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Anna Edenbrandt</w:t>
            </w:r>
          </w:p>
        </w:tc>
        <w:tc>
          <w:tcPr>
            <w:tcW w:w="1960" w:type="dxa"/>
            <w:noWrap/>
          </w:tcPr>
          <w:p w14:paraId="1B3DA5C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Zoom</w:t>
            </w:r>
          </w:p>
        </w:tc>
      </w:tr>
      <w:tr w:rsidR="006315B5" w:rsidRPr="00512C92" w14:paraId="690B3F1C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22E69E26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11 Nov</w:t>
            </w:r>
          </w:p>
        </w:tc>
        <w:tc>
          <w:tcPr>
            <w:tcW w:w="1269" w:type="dxa"/>
            <w:noWrap/>
            <w:hideMark/>
          </w:tcPr>
          <w:p w14:paraId="044DDED7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Friday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A6A9913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>13.15 - 15.00</w:t>
            </w:r>
          </w:p>
        </w:tc>
        <w:tc>
          <w:tcPr>
            <w:tcW w:w="3259" w:type="dxa"/>
            <w:gridSpan w:val="4"/>
            <w:noWrap/>
            <w:hideMark/>
          </w:tcPr>
          <w:p w14:paraId="267F45DF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>Seminar: Ideas for term paper*</w:t>
            </w:r>
          </w:p>
        </w:tc>
        <w:tc>
          <w:tcPr>
            <w:tcW w:w="3305" w:type="dxa"/>
            <w:noWrap/>
            <w:hideMark/>
          </w:tcPr>
          <w:p w14:paraId="7BA838E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41" w:type="dxa"/>
            <w:noWrap/>
            <w:hideMark/>
          </w:tcPr>
          <w:p w14:paraId="7F9CCFC9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3DDC3D3E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Helena Hansson</w:t>
            </w:r>
          </w:p>
        </w:tc>
        <w:tc>
          <w:tcPr>
            <w:tcW w:w="1960" w:type="dxa"/>
            <w:noWrap/>
          </w:tcPr>
          <w:p w14:paraId="45264AAA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06767779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8" w:type="dxa"/>
            <w:gridSpan w:val="9"/>
            <w:tcBorders>
              <w:right w:val="none" w:sz="0" w:space="0" w:color="auto"/>
            </w:tcBorders>
            <w:noWrap/>
            <w:hideMark/>
          </w:tcPr>
          <w:p w14:paraId="6F810FD4" w14:textId="77777777" w:rsidR="006315B5" w:rsidRPr="00512C92" w:rsidRDefault="006315B5" w:rsidP="007B7C0A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</w:tcPr>
          <w:p w14:paraId="45491F1E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213B9958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512C92" w14:paraId="6BB568E4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09D220C5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13 NOV</w:t>
            </w:r>
          </w:p>
        </w:tc>
        <w:tc>
          <w:tcPr>
            <w:tcW w:w="1269" w:type="dxa"/>
            <w:noWrap/>
            <w:hideMark/>
          </w:tcPr>
          <w:p w14:paraId="5D3FE7C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Wednesday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7AC9330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>9.15-12.00</w:t>
            </w:r>
          </w:p>
        </w:tc>
        <w:tc>
          <w:tcPr>
            <w:tcW w:w="6564" w:type="dxa"/>
            <w:gridSpan w:val="5"/>
            <w:noWrap/>
            <w:hideMark/>
          </w:tcPr>
          <w:p w14:paraId="329791F9" w14:textId="77777777" w:rsidR="006315B5" w:rsidRPr="00933D1F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933D1F">
              <w:rPr>
                <w:rFonts w:eastAsia="Times New Roman" w:cstheme="minorHAnsi"/>
                <w:color w:val="000000"/>
                <w:lang w:val="en-GB" w:eastAsia="sv-SE"/>
              </w:rPr>
              <w:t>Topic 2: Animal health and welfare economics</w:t>
            </w:r>
          </w:p>
        </w:tc>
        <w:tc>
          <w:tcPr>
            <w:tcW w:w="241" w:type="dxa"/>
            <w:noWrap/>
            <w:hideMark/>
          </w:tcPr>
          <w:p w14:paraId="7BC7C8E8" w14:textId="77777777" w:rsidR="006315B5" w:rsidRPr="00933D1F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3A73691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Enoch Owusu Sekyere</w:t>
            </w:r>
          </w:p>
        </w:tc>
        <w:tc>
          <w:tcPr>
            <w:tcW w:w="1960" w:type="dxa"/>
            <w:noWrap/>
          </w:tcPr>
          <w:p w14:paraId="789448AF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5FB0B5BD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</w:tcPr>
          <w:p w14:paraId="2985F4D5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269" w:type="dxa"/>
            <w:noWrap/>
          </w:tcPr>
          <w:p w14:paraId="130E488D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420" w:type="dxa"/>
            <w:noWrap/>
          </w:tcPr>
          <w:p w14:paraId="26021367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185" w:type="dxa"/>
            <w:noWrap/>
            <w:hideMark/>
          </w:tcPr>
          <w:p w14:paraId="38AF2984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960" w:type="dxa"/>
            <w:noWrap/>
            <w:hideMark/>
          </w:tcPr>
          <w:p w14:paraId="32D8714A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960" w:type="dxa"/>
            <w:noWrap/>
            <w:hideMark/>
          </w:tcPr>
          <w:p w14:paraId="347EF089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3459" w:type="dxa"/>
            <w:gridSpan w:val="2"/>
            <w:noWrap/>
            <w:hideMark/>
          </w:tcPr>
          <w:p w14:paraId="04DE8AA5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41" w:type="dxa"/>
            <w:noWrap/>
            <w:hideMark/>
          </w:tcPr>
          <w:p w14:paraId="68798B5E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</w:tcPr>
          <w:p w14:paraId="19E49487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7122D0C9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512C92" w14:paraId="44A29E81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19390448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18 NOV</w:t>
            </w:r>
          </w:p>
        </w:tc>
        <w:tc>
          <w:tcPr>
            <w:tcW w:w="1269" w:type="dxa"/>
            <w:noWrap/>
            <w:hideMark/>
          </w:tcPr>
          <w:p w14:paraId="3B65F1DB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Monday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0FC4522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.15-12.00</w:t>
            </w:r>
          </w:p>
        </w:tc>
        <w:tc>
          <w:tcPr>
            <w:tcW w:w="3105" w:type="dxa"/>
            <w:gridSpan w:val="3"/>
            <w:noWrap/>
            <w:hideMark/>
          </w:tcPr>
          <w:p w14:paraId="78F51CB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 xml:space="preserve">Follow-up seminar: </w:t>
            </w:r>
            <w:r>
              <w:rPr>
                <w:rFonts w:eastAsia="Times New Roman" w:cstheme="minorHAnsi"/>
                <w:color w:val="000000"/>
                <w:lang w:val="en-GB" w:eastAsia="sv-SE"/>
              </w:rPr>
              <w:t>Topic 2</w:t>
            </w: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>*</w:t>
            </w:r>
          </w:p>
        </w:tc>
        <w:tc>
          <w:tcPr>
            <w:tcW w:w="3459" w:type="dxa"/>
            <w:gridSpan w:val="2"/>
            <w:noWrap/>
            <w:hideMark/>
          </w:tcPr>
          <w:p w14:paraId="6E5C745F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</w:p>
        </w:tc>
        <w:tc>
          <w:tcPr>
            <w:tcW w:w="241" w:type="dxa"/>
            <w:noWrap/>
            <w:hideMark/>
          </w:tcPr>
          <w:p w14:paraId="6BE94823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sv-SE"/>
              </w:rPr>
            </w:pPr>
          </w:p>
        </w:tc>
        <w:tc>
          <w:tcPr>
            <w:tcW w:w="2200" w:type="dxa"/>
            <w:noWrap/>
          </w:tcPr>
          <w:p w14:paraId="6F8148A5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Enoch Owusu Sekyere</w:t>
            </w:r>
          </w:p>
        </w:tc>
        <w:tc>
          <w:tcPr>
            <w:tcW w:w="1960" w:type="dxa"/>
            <w:noWrap/>
          </w:tcPr>
          <w:p w14:paraId="4DCCCB5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31500B8B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2DA78E09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20 Nov</w:t>
            </w:r>
          </w:p>
        </w:tc>
        <w:tc>
          <w:tcPr>
            <w:tcW w:w="1269" w:type="dxa"/>
            <w:noWrap/>
            <w:hideMark/>
          </w:tcPr>
          <w:p w14:paraId="1000BA93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Wednesday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070261F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 w:rsidRPr="00512C92">
              <w:rPr>
                <w:rFonts w:eastAsia="Times New Roman" w:cstheme="minorHAnsi"/>
                <w:color w:val="000000"/>
                <w:lang w:eastAsia="sv-SE"/>
              </w:rPr>
              <w:t>9.15-12.00</w:t>
            </w:r>
          </w:p>
        </w:tc>
        <w:tc>
          <w:tcPr>
            <w:tcW w:w="6805" w:type="dxa"/>
            <w:gridSpan w:val="6"/>
            <w:noWrap/>
            <w:hideMark/>
          </w:tcPr>
          <w:p w14:paraId="0173E113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>Introduction:</w:t>
            </w:r>
            <w:r>
              <w:rPr>
                <w:rFonts w:eastAsia="Times New Roman" w:cstheme="minorHAnsi"/>
                <w:color w:val="000000"/>
                <w:lang w:val="en-GB" w:eastAsia="sv-SE"/>
              </w:rPr>
              <w:t xml:space="preserve"> Topic 3: Resilient agricultural systems</w:t>
            </w:r>
          </w:p>
        </w:tc>
        <w:tc>
          <w:tcPr>
            <w:tcW w:w="2200" w:type="dxa"/>
            <w:noWrap/>
          </w:tcPr>
          <w:p w14:paraId="558E41CF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Thomas Slijper</w:t>
            </w:r>
          </w:p>
        </w:tc>
        <w:tc>
          <w:tcPr>
            <w:tcW w:w="1960" w:type="dxa"/>
            <w:noWrap/>
          </w:tcPr>
          <w:p w14:paraId="4D7F8CF9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74ACEAB9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8" w:type="dxa"/>
            <w:gridSpan w:val="9"/>
            <w:tcBorders>
              <w:right w:val="none" w:sz="0" w:space="0" w:color="auto"/>
            </w:tcBorders>
            <w:noWrap/>
          </w:tcPr>
          <w:p w14:paraId="66D79A3A" w14:textId="77777777" w:rsidR="006315B5" w:rsidRPr="00512C92" w:rsidRDefault="006315B5" w:rsidP="007B7C0A">
            <w:pPr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78448EE4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960" w:type="dxa"/>
            <w:noWrap/>
          </w:tcPr>
          <w:p w14:paraId="792AA946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6315B5" w:rsidRPr="00512C92" w14:paraId="19B603EC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28B5A4A2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25 NOV</w:t>
            </w:r>
          </w:p>
        </w:tc>
        <w:tc>
          <w:tcPr>
            <w:tcW w:w="1269" w:type="dxa"/>
            <w:noWrap/>
            <w:hideMark/>
          </w:tcPr>
          <w:p w14:paraId="5B79A434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Monday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49D586C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.15-12.00</w:t>
            </w:r>
          </w:p>
        </w:tc>
        <w:tc>
          <w:tcPr>
            <w:tcW w:w="3259" w:type="dxa"/>
            <w:gridSpan w:val="4"/>
            <w:noWrap/>
            <w:hideMark/>
          </w:tcPr>
          <w:p w14:paraId="035618E8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 xml:space="preserve">Follow-up seminar: </w:t>
            </w:r>
            <w:r>
              <w:rPr>
                <w:rFonts w:eastAsia="Times New Roman" w:cstheme="minorHAnsi"/>
                <w:color w:val="000000"/>
                <w:lang w:val="en-GB" w:eastAsia="sv-SE"/>
              </w:rPr>
              <w:t>Topic 3*</w:t>
            </w:r>
          </w:p>
        </w:tc>
        <w:tc>
          <w:tcPr>
            <w:tcW w:w="3305" w:type="dxa"/>
            <w:noWrap/>
            <w:hideMark/>
          </w:tcPr>
          <w:p w14:paraId="19061E74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41" w:type="dxa"/>
            <w:noWrap/>
            <w:hideMark/>
          </w:tcPr>
          <w:p w14:paraId="1ACAF506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7726B973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Thomas Slijper</w:t>
            </w:r>
          </w:p>
        </w:tc>
        <w:tc>
          <w:tcPr>
            <w:tcW w:w="1960" w:type="dxa"/>
            <w:noWrap/>
          </w:tcPr>
          <w:p w14:paraId="23A55B8D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Hebbe, Ultunabiblioteket</w:t>
            </w:r>
          </w:p>
        </w:tc>
      </w:tr>
      <w:tr w:rsidR="006315B5" w:rsidRPr="00512C92" w14:paraId="116CD173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76C12416" w14:textId="77777777" w:rsidR="006315B5" w:rsidRPr="00512C92" w:rsidRDefault="006315B5" w:rsidP="007B7C0A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269" w:type="dxa"/>
            <w:noWrap/>
            <w:hideMark/>
          </w:tcPr>
          <w:p w14:paraId="6A925866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420" w:type="dxa"/>
            <w:noWrap/>
            <w:hideMark/>
          </w:tcPr>
          <w:p w14:paraId="0B563D5D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185" w:type="dxa"/>
            <w:noWrap/>
            <w:hideMark/>
          </w:tcPr>
          <w:p w14:paraId="067CD961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960" w:type="dxa"/>
            <w:noWrap/>
            <w:hideMark/>
          </w:tcPr>
          <w:p w14:paraId="7EAC0160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960" w:type="dxa"/>
            <w:noWrap/>
            <w:hideMark/>
          </w:tcPr>
          <w:p w14:paraId="27BDC759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3459" w:type="dxa"/>
            <w:gridSpan w:val="2"/>
            <w:noWrap/>
            <w:hideMark/>
          </w:tcPr>
          <w:p w14:paraId="36956465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41" w:type="dxa"/>
            <w:noWrap/>
            <w:hideMark/>
          </w:tcPr>
          <w:p w14:paraId="1C393FF9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</w:tcPr>
          <w:p w14:paraId="5B57FFA8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59F7C5D1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512C92" w14:paraId="4650ABD6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16ABD92F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27 nov</w:t>
            </w:r>
          </w:p>
        </w:tc>
        <w:tc>
          <w:tcPr>
            <w:tcW w:w="1269" w:type="dxa"/>
            <w:noWrap/>
            <w:hideMark/>
          </w:tcPr>
          <w:p w14:paraId="59B7A096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  <w:proofErr w:type="spellStart"/>
            <w:r>
              <w:rPr>
                <w:rFonts w:eastAsia="Times New Roman" w:cstheme="minorHAnsi"/>
                <w:lang w:eastAsia="sv-SE"/>
              </w:rPr>
              <w:t>Wednesday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4988364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  <w:r w:rsidRPr="00512C92">
              <w:rPr>
                <w:rFonts w:eastAsia="Times New Roman" w:cstheme="minorHAnsi"/>
                <w:lang w:eastAsia="sv-SE"/>
              </w:rPr>
              <w:t>9.15-12.00</w:t>
            </w:r>
          </w:p>
        </w:tc>
        <w:tc>
          <w:tcPr>
            <w:tcW w:w="6564" w:type="dxa"/>
            <w:gridSpan w:val="5"/>
            <w:noWrap/>
            <w:hideMark/>
          </w:tcPr>
          <w:p w14:paraId="19F5788F" w14:textId="77777777" w:rsidR="006315B5" w:rsidRPr="00933D1F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  <w:r w:rsidRPr="00933D1F">
              <w:rPr>
                <w:rFonts w:eastAsia="Times New Roman" w:cstheme="minorHAnsi"/>
                <w:lang w:val="en-GB" w:eastAsia="sv-SE"/>
              </w:rPr>
              <w:t>Introduction: Topic 4</w:t>
            </w:r>
            <w:r>
              <w:rPr>
                <w:rFonts w:eastAsia="Times New Roman" w:cstheme="minorHAnsi"/>
                <w:lang w:val="en-GB" w:eastAsia="sv-SE"/>
              </w:rPr>
              <w:t>: Experimental methods to study farmer behaviours and preferences</w:t>
            </w:r>
          </w:p>
        </w:tc>
        <w:tc>
          <w:tcPr>
            <w:tcW w:w="241" w:type="dxa"/>
            <w:noWrap/>
            <w:hideMark/>
          </w:tcPr>
          <w:p w14:paraId="791EC8B5" w14:textId="77777777" w:rsidR="006315B5" w:rsidRPr="00933D1F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2D06C1E3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Hui Tao</w:t>
            </w:r>
          </w:p>
        </w:tc>
        <w:tc>
          <w:tcPr>
            <w:tcW w:w="1960" w:type="dxa"/>
            <w:noWrap/>
          </w:tcPr>
          <w:p w14:paraId="7748FE4C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512C92" w14:paraId="2DA01D6C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1FDCFEE5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 DeC</w:t>
            </w:r>
          </w:p>
        </w:tc>
        <w:tc>
          <w:tcPr>
            <w:tcW w:w="1269" w:type="dxa"/>
            <w:noWrap/>
            <w:hideMark/>
          </w:tcPr>
          <w:p w14:paraId="7C2B5BF9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Monday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67455EC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.15-12.00</w:t>
            </w:r>
          </w:p>
        </w:tc>
        <w:tc>
          <w:tcPr>
            <w:tcW w:w="6805" w:type="dxa"/>
            <w:gridSpan w:val="6"/>
            <w:noWrap/>
            <w:hideMark/>
          </w:tcPr>
          <w:p w14:paraId="5810F8F4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 xml:space="preserve">Follow-up seminar: </w:t>
            </w:r>
            <w:r>
              <w:rPr>
                <w:rFonts w:eastAsia="Times New Roman" w:cstheme="minorHAnsi"/>
                <w:color w:val="000000"/>
                <w:lang w:val="en-GB" w:eastAsia="sv-SE"/>
              </w:rPr>
              <w:t>Topic 4</w:t>
            </w:r>
            <w:r w:rsidRPr="00512C92">
              <w:rPr>
                <w:rFonts w:eastAsia="Times New Roman" w:cstheme="minorHAnsi"/>
                <w:color w:val="000000"/>
                <w:lang w:val="en-GB" w:eastAsia="sv-SE"/>
              </w:rPr>
              <w:t xml:space="preserve"> *</w:t>
            </w:r>
          </w:p>
        </w:tc>
        <w:tc>
          <w:tcPr>
            <w:tcW w:w="2200" w:type="dxa"/>
            <w:noWrap/>
          </w:tcPr>
          <w:p w14:paraId="1E2B87A7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Hui Tao</w:t>
            </w:r>
          </w:p>
        </w:tc>
        <w:tc>
          <w:tcPr>
            <w:tcW w:w="1960" w:type="dxa"/>
            <w:noWrap/>
          </w:tcPr>
          <w:p w14:paraId="06FFD170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Sal C212, Biocentrum</w:t>
            </w:r>
          </w:p>
          <w:p w14:paraId="1F1258E8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lang w:eastAsia="sv-SE"/>
              </w:rPr>
            </w:pPr>
          </w:p>
          <w:p w14:paraId="1DE97DFF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21935E94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6315B5" w:rsidRPr="00512C92" w14:paraId="43A00F7C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8" w:type="dxa"/>
            <w:gridSpan w:val="9"/>
            <w:tcBorders>
              <w:right w:val="none" w:sz="0" w:space="0" w:color="auto"/>
            </w:tcBorders>
            <w:noWrap/>
            <w:hideMark/>
          </w:tcPr>
          <w:p w14:paraId="729580E9" w14:textId="77777777" w:rsidR="006315B5" w:rsidRPr="00512C92" w:rsidRDefault="006315B5" w:rsidP="007B7C0A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</w:tcPr>
          <w:p w14:paraId="6C7F723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704C8BE7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512C92" w14:paraId="681A8AB6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6E7ED78B" w14:textId="77777777" w:rsidR="006315B5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131FE4FD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 DEC</w:t>
            </w:r>
          </w:p>
        </w:tc>
        <w:tc>
          <w:tcPr>
            <w:tcW w:w="1269" w:type="dxa"/>
            <w:noWrap/>
            <w:hideMark/>
          </w:tcPr>
          <w:p w14:paraId="49A06A31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Tuesday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A16C10E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08.00-11.00</w:t>
            </w:r>
          </w:p>
        </w:tc>
        <w:tc>
          <w:tcPr>
            <w:tcW w:w="6805" w:type="dxa"/>
            <w:gridSpan w:val="6"/>
            <w:noWrap/>
          </w:tcPr>
          <w:p w14:paraId="45F8F51A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Exam</w:t>
            </w:r>
          </w:p>
        </w:tc>
        <w:tc>
          <w:tcPr>
            <w:tcW w:w="2200" w:type="dxa"/>
            <w:noWrap/>
          </w:tcPr>
          <w:p w14:paraId="7ADFB711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960" w:type="dxa"/>
            <w:noWrap/>
          </w:tcPr>
          <w:p w14:paraId="737EF218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Tentamenssal 2</w:t>
            </w:r>
          </w:p>
        </w:tc>
      </w:tr>
      <w:tr w:rsidR="006315B5" w:rsidRPr="00512C92" w14:paraId="70C9F3F2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8" w:type="dxa"/>
            <w:gridSpan w:val="9"/>
            <w:tcBorders>
              <w:right w:val="none" w:sz="0" w:space="0" w:color="auto"/>
            </w:tcBorders>
            <w:noWrap/>
          </w:tcPr>
          <w:p w14:paraId="5D485C08" w14:textId="77777777" w:rsidR="006315B5" w:rsidRPr="00512C92" w:rsidRDefault="006315B5" w:rsidP="007B7C0A">
            <w:pPr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3BFF78AC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960" w:type="dxa"/>
            <w:noWrap/>
          </w:tcPr>
          <w:p w14:paraId="52C52930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6315B5" w:rsidRPr="00512C92" w14:paraId="26D19F90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0EA07F22" w14:textId="77777777" w:rsidR="006315B5" w:rsidRPr="00512C92" w:rsidRDefault="006315B5" w:rsidP="007B7C0A">
            <w:pPr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13 DEC</w:t>
            </w:r>
          </w:p>
        </w:tc>
        <w:tc>
          <w:tcPr>
            <w:tcW w:w="1269" w:type="dxa"/>
            <w:noWrap/>
            <w:hideMark/>
          </w:tcPr>
          <w:p w14:paraId="3E39E456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Friday</w:t>
            </w:r>
            <w:proofErr w:type="spellEnd"/>
          </w:p>
        </w:tc>
        <w:tc>
          <w:tcPr>
            <w:tcW w:w="1420" w:type="dxa"/>
            <w:noWrap/>
            <w:hideMark/>
          </w:tcPr>
          <w:p w14:paraId="4DF99ECB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13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.15-1</w:t>
            </w:r>
            <w:r>
              <w:rPr>
                <w:rFonts w:eastAsia="Times New Roman" w:cstheme="minorHAnsi"/>
                <w:color w:val="000000"/>
                <w:lang w:eastAsia="sv-SE"/>
              </w:rPr>
              <w:t>6</w:t>
            </w:r>
            <w:r w:rsidRPr="00512C92"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3105" w:type="dxa"/>
            <w:gridSpan w:val="3"/>
            <w:noWrap/>
            <w:hideMark/>
          </w:tcPr>
          <w:p w14:paraId="7C4DACA1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lang w:val="en-US" w:eastAsia="sv-SE"/>
              </w:rPr>
            </w:pPr>
            <w:r>
              <w:rPr>
                <w:rFonts w:eastAsia="Times New Roman" w:cstheme="minorHAnsi"/>
                <w:color w:val="000000"/>
                <w:lang w:val="en-US" w:eastAsia="sv-SE"/>
              </w:rPr>
              <w:t>Term paper: Advisory session 1*</w:t>
            </w:r>
          </w:p>
        </w:tc>
        <w:tc>
          <w:tcPr>
            <w:tcW w:w="3459" w:type="dxa"/>
            <w:gridSpan w:val="2"/>
            <w:noWrap/>
            <w:hideMark/>
          </w:tcPr>
          <w:p w14:paraId="4AE4A95A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sv-SE"/>
              </w:rPr>
            </w:pPr>
          </w:p>
        </w:tc>
        <w:tc>
          <w:tcPr>
            <w:tcW w:w="241" w:type="dxa"/>
            <w:noWrap/>
            <w:hideMark/>
          </w:tcPr>
          <w:p w14:paraId="4141CE1E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sv-SE"/>
              </w:rPr>
            </w:pPr>
          </w:p>
        </w:tc>
        <w:tc>
          <w:tcPr>
            <w:tcW w:w="2200" w:type="dxa"/>
            <w:noWrap/>
          </w:tcPr>
          <w:p w14:paraId="148D285F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Helena Hansson</w:t>
            </w:r>
          </w:p>
        </w:tc>
        <w:tc>
          <w:tcPr>
            <w:tcW w:w="1960" w:type="dxa"/>
            <w:noWrap/>
          </w:tcPr>
          <w:p w14:paraId="06528554" w14:textId="77777777" w:rsidR="006315B5" w:rsidRPr="00512C92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C212, Biocentrum</w:t>
            </w:r>
          </w:p>
        </w:tc>
      </w:tr>
      <w:tr w:rsidR="006315B5" w:rsidRPr="00512C92" w14:paraId="523FCB51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7" w:type="dxa"/>
            <w:gridSpan w:val="8"/>
            <w:tcBorders>
              <w:right w:val="none" w:sz="0" w:space="0" w:color="auto"/>
            </w:tcBorders>
            <w:noWrap/>
            <w:hideMark/>
          </w:tcPr>
          <w:p w14:paraId="52E32C0E" w14:textId="77777777" w:rsidR="006315B5" w:rsidRPr="00512C92" w:rsidRDefault="006315B5" w:rsidP="007B7C0A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41" w:type="dxa"/>
            <w:noWrap/>
            <w:hideMark/>
          </w:tcPr>
          <w:p w14:paraId="701DFFA2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200" w:type="dxa"/>
            <w:noWrap/>
            <w:hideMark/>
          </w:tcPr>
          <w:p w14:paraId="49E4CEEE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60" w:type="dxa"/>
            <w:noWrap/>
          </w:tcPr>
          <w:p w14:paraId="69E35BA5" w14:textId="77777777" w:rsidR="006315B5" w:rsidRPr="00512C92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v-SE"/>
              </w:rPr>
            </w:pPr>
          </w:p>
        </w:tc>
      </w:tr>
      <w:tr w:rsidR="006315B5" w:rsidRPr="00606745" w14:paraId="360F0AB8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</w:tcPr>
          <w:p w14:paraId="7467BE5C" w14:textId="77777777" w:rsidR="006315B5" w:rsidRDefault="006315B5" w:rsidP="007B7C0A">
            <w:pPr>
              <w:jc w:val="right"/>
              <w:rPr>
                <w:rFonts w:eastAsia="Times New Roman" w:cstheme="minorHAnsi"/>
                <w:color w:val="000000"/>
                <w:lang w:val="en-US" w:eastAsia="sv-SE"/>
              </w:rPr>
            </w:pPr>
          </w:p>
        </w:tc>
        <w:tc>
          <w:tcPr>
            <w:tcW w:w="1269" w:type="dxa"/>
            <w:noWrap/>
          </w:tcPr>
          <w:p w14:paraId="4AFECAC1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420" w:type="dxa"/>
            <w:noWrap/>
          </w:tcPr>
          <w:p w14:paraId="2BB5275B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6564" w:type="dxa"/>
            <w:gridSpan w:val="5"/>
            <w:noWrap/>
          </w:tcPr>
          <w:p w14:paraId="5FB38E58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41" w:type="dxa"/>
            <w:noWrap/>
          </w:tcPr>
          <w:p w14:paraId="0668C055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7BA721BE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1960" w:type="dxa"/>
            <w:noWrap/>
          </w:tcPr>
          <w:p w14:paraId="55C65DF3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6315B5" w:rsidRPr="00606745" w14:paraId="06FE6F22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</w:tcPr>
          <w:p w14:paraId="7A1B0DB5" w14:textId="77777777" w:rsidR="006315B5" w:rsidRDefault="006315B5" w:rsidP="007B7C0A">
            <w:pPr>
              <w:jc w:val="right"/>
              <w:rPr>
                <w:rFonts w:eastAsia="Times New Roman" w:cstheme="minorHAnsi"/>
                <w:color w:val="000000"/>
                <w:lang w:val="en-US" w:eastAsia="sv-SE"/>
              </w:rPr>
            </w:pPr>
            <w:r>
              <w:rPr>
                <w:rFonts w:eastAsia="Times New Roman" w:cstheme="minorHAnsi"/>
                <w:color w:val="000000"/>
                <w:lang w:val="en-US" w:eastAsia="sv-SE"/>
              </w:rPr>
              <w:t>14 Jan</w:t>
            </w:r>
          </w:p>
        </w:tc>
        <w:tc>
          <w:tcPr>
            <w:tcW w:w="1269" w:type="dxa"/>
            <w:noWrap/>
          </w:tcPr>
          <w:p w14:paraId="7AE9C2ED" w14:textId="77777777" w:rsidR="006315B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Tuesday</w:t>
            </w:r>
            <w:proofErr w:type="spellEnd"/>
          </w:p>
        </w:tc>
        <w:tc>
          <w:tcPr>
            <w:tcW w:w="1420" w:type="dxa"/>
            <w:noWrap/>
          </w:tcPr>
          <w:p w14:paraId="74E7E6C5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8.15 – 12.00</w:t>
            </w:r>
          </w:p>
        </w:tc>
        <w:tc>
          <w:tcPr>
            <w:tcW w:w="6564" w:type="dxa"/>
            <w:gridSpan w:val="5"/>
            <w:noWrap/>
          </w:tcPr>
          <w:p w14:paraId="7F8D0A53" w14:textId="77777777" w:rsidR="006315B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Presentation and discussion: Term paper*</w:t>
            </w:r>
          </w:p>
        </w:tc>
        <w:tc>
          <w:tcPr>
            <w:tcW w:w="241" w:type="dxa"/>
            <w:noWrap/>
          </w:tcPr>
          <w:p w14:paraId="60D20E9B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75874545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  <w:r>
              <w:rPr>
                <w:rFonts w:eastAsia="Times New Roman" w:cstheme="minorHAnsi"/>
                <w:lang w:val="en-GB" w:eastAsia="sv-SE"/>
              </w:rPr>
              <w:t>Helena Hansson</w:t>
            </w:r>
          </w:p>
        </w:tc>
        <w:tc>
          <w:tcPr>
            <w:tcW w:w="1960" w:type="dxa"/>
            <w:noWrap/>
          </w:tcPr>
          <w:p w14:paraId="617956A9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i/>
                <w:color w:val="000000"/>
                <w:lang w:eastAsia="sv-SE"/>
              </w:rPr>
              <w:t>Grupprum 10, 11 VHC hus 5</w:t>
            </w:r>
          </w:p>
        </w:tc>
      </w:tr>
      <w:tr w:rsidR="006315B5" w:rsidRPr="00606745" w14:paraId="7D418E25" w14:textId="77777777" w:rsidTr="007B7C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</w:tcPr>
          <w:p w14:paraId="69FA27BE" w14:textId="77777777" w:rsidR="006315B5" w:rsidRDefault="006315B5" w:rsidP="007B7C0A">
            <w:pPr>
              <w:jc w:val="right"/>
              <w:rPr>
                <w:rFonts w:eastAsia="Times New Roman" w:cstheme="minorHAnsi"/>
                <w:color w:val="000000"/>
                <w:lang w:val="en-US" w:eastAsia="sv-SE"/>
              </w:rPr>
            </w:pPr>
          </w:p>
        </w:tc>
        <w:tc>
          <w:tcPr>
            <w:tcW w:w="1269" w:type="dxa"/>
            <w:noWrap/>
          </w:tcPr>
          <w:p w14:paraId="3CD38D4C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420" w:type="dxa"/>
            <w:noWrap/>
          </w:tcPr>
          <w:p w14:paraId="1AE07E52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6564" w:type="dxa"/>
            <w:gridSpan w:val="5"/>
            <w:noWrap/>
          </w:tcPr>
          <w:p w14:paraId="315ABDDF" w14:textId="77777777" w:rsidR="006315B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241" w:type="dxa"/>
            <w:noWrap/>
          </w:tcPr>
          <w:p w14:paraId="0132E2B1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182F4924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1960" w:type="dxa"/>
            <w:noWrap/>
          </w:tcPr>
          <w:p w14:paraId="69159D54" w14:textId="77777777" w:rsidR="006315B5" w:rsidRPr="00606745" w:rsidRDefault="006315B5" w:rsidP="007B7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6315B5" w:rsidRPr="00606745" w14:paraId="48DC65A8" w14:textId="77777777" w:rsidTr="007B7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</w:tcPr>
          <w:p w14:paraId="56F715E1" w14:textId="77777777" w:rsidR="006315B5" w:rsidRPr="00606745" w:rsidRDefault="006315B5" w:rsidP="007B7C0A">
            <w:pPr>
              <w:jc w:val="center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29 JAN</w:t>
            </w:r>
          </w:p>
        </w:tc>
        <w:tc>
          <w:tcPr>
            <w:tcW w:w="1269" w:type="dxa"/>
            <w:noWrap/>
          </w:tcPr>
          <w:p w14:paraId="600F3D11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Wednesday</w:t>
            </w:r>
          </w:p>
        </w:tc>
        <w:tc>
          <w:tcPr>
            <w:tcW w:w="1420" w:type="dxa"/>
            <w:noWrap/>
          </w:tcPr>
          <w:p w14:paraId="43A69755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13.00-16.00</w:t>
            </w:r>
          </w:p>
        </w:tc>
        <w:tc>
          <w:tcPr>
            <w:tcW w:w="1185" w:type="dxa"/>
            <w:noWrap/>
          </w:tcPr>
          <w:p w14:paraId="69086FC5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606745">
              <w:rPr>
                <w:rFonts w:eastAsia="Times New Roman" w:cstheme="minorHAnsi"/>
                <w:color w:val="000000"/>
                <w:lang w:val="en-GB" w:eastAsia="sv-SE"/>
              </w:rPr>
              <w:t>Re-exam</w:t>
            </w:r>
          </w:p>
        </w:tc>
        <w:tc>
          <w:tcPr>
            <w:tcW w:w="960" w:type="dxa"/>
            <w:noWrap/>
          </w:tcPr>
          <w:p w14:paraId="03B4B4E2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960" w:type="dxa"/>
            <w:noWrap/>
          </w:tcPr>
          <w:p w14:paraId="468BED2F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3459" w:type="dxa"/>
            <w:gridSpan w:val="2"/>
            <w:noWrap/>
          </w:tcPr>
          <w:p w14:paraId="01170EED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41" w:type="dxa"/>
            <w:noWrap/>
          </w:tcPr>
          <w:p w14:paraId="6CA44E52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2200" w:type="dxa"/>
            <w:noWrap/>
          </w:tcPr>
          <w:p w14:paraId="765D90C7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GB" w:eastAsia="sv-SE"/>
              </w:rPr>
            </w:pPr>
          </w:p>
        </w:tc>
        <w:tc>
          <w:tcPr>
            <w:tcW w:w="1960" w:type="dxa"/>
            <w:noWrap/>
          </w:tcPr>
          <w:p w14:paraId="7E882ABC" w14:textId="77777777" w:rsidR="006315B5" w:rsidRPr="00606745" w:rsidRDefault="006315B5" w:rsidP="007B7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GB"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GB" w:eastAsia="sv-SE"/>
              </w:rPr>
              <w:t>Tentamenssal</w:t>
            </w:r>
            <w:proofErr w:type="spellEnd"/>
            <w:r>
              <w:rPr>
                <w:rFonts w:eastAsia="Times New Roman" w:cstheme="minorHAnsi"/>
                <w:color w:val="000000"/>
                <w:lang w:val="en-GB" w:eastAsia="sv-SE"/>
              </w:rPr>
              <w:t xml:space="preserve"> 2</w:t>
            </w:r>
          </w:p>
        </w:tc>
      </w:tr>
    </w:tbl>
    <w:p w14:paraId="2F553695" w14:textId="7F9DEB4A" w:rsidR="00630BDF" w:rsidRDefault="00103FBD" w:rsidP="00BB5023">
      <w:pPr>
        <w:rPr>
          <w:lang w:val="en-GB"/>
        </w:rPr>
      </w:pPr>
      <w:r>
        <w:rPr>
          <w:lang w:val="en-GB"/>
        </w:rPr>
        <w:t xml:space="preserve">Activities indicated with a </w:t>
      </w:r>
      <w:proofErr w:type="gramStart"/>
      <w:r>
        <w:rPr>
          <w:lang w:val="en-GB"/>
        </w:rPr>
        <w:t>star  (</w:t>
      </w:r>
      <w:proofErr w:type="gramEnd"/>
      <w:r>
        <w:rPr>
          <w:lang w:val="en-GB"/>
        </w:rPr>
        <w:t>*) are mandatory.</w:t>
      </w:r>
      <w:r w:rsidR="00BB5023">
        <w:rPr>
          <w:lang w:val="en-GB"/>
        </w:rPr>
        <w:t xml:space="preserve"> </w:t>
      </w:r>
    </w:p>
    <w:p w14:paraId="42559EDB" w14:textId="77777777" w:rsidR="005C15DB" w:rsidRDefault="005C15DB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val="en-GB" w:eastAsia="sv-SE"/>
        </w:rPr>
      </w:pPr>
      <w:r>
        <w:rPr>
          <w:rFonts w:eastAsia="Times New Roman"/>
          <w:lang w:val="en-GB" w:eastAsia="sv-SE"/>
        </w:rPr>
        <w:br w:type="page"/>
      </w:r>
    </w:p>
    <w:p w14:paraId="552393CE" w14:textId="77777777" w:rsidR="005C15DB" w:rsidRDefault="005C15DB" w:rsidP="00371071">
      <w:pPr>
        <w:pStyle w:val="Heading1"/>
        <w:rPr>
          <w:rFonts w:eastAsia="Times New Roman"/>
          <w:lang w:val="en-GB" w:eastAsia="sv-SE"/>
        </w:rPr>
        <w:sectPr w:rsidR="005C15DB" w:rsidSect="005C15D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7FB8473" w14:textId="5876D815" w:rsidR="00371071" w:rsidRDefault="002B2256" w:rsidP="00371071">
      <w:pPr>
        <w:pStyle w:val="Heading1"/>
        <w:rPr>
          <w:rFonts w:eastAsia="Times New Roman"/>
          <w:lang w:val="en-GB" w:eastAsia="sv-SE"/>
        </w:rPr>
      </w:pPr>
      <w:r>
        <w:rPr>
          <w:rFonts w:eastAsia="Times New Roman"/>
          <w:lang w:val="en-GB" w:eastAsia="sv-SE"/>
        </w:rPr>
        <w:lastRenderedPageBreak/>
        <w:t>Reading list 2024</w:t>
      </w:r>
    </w:p>
    <w:p w14:paraId="5714DB89" w14:textId="77777777" w:rsidR="00371071" w:rsidRDefault="00371071" w:rsidP="00371071">
      <w:pPr>
        <w:pStyle w:val="Heading1"/>
        <w:rPr>
          <w:lang w:val="en-GB" w:eastAsia="sv-SE"/>
        </w:rPr>
      </w:pPr>
      <w:r>
        <w:rPr>
          <w:lang w:val="en-GB" w:eastAsia="sv-SE"/>
        </w:rPr>
        <w:t>Introductory lecture</w:t>
      </w:r>
    </w:p>
    <w:p w14:paraId="5636F39B" w14:textId="77777777" w:rsidR="00371071" w:rsidRPr="00007646" w:rsidRDefault="00371071" w:rsidP="00371071">
      <w:pPr>
        <w:rPr>
          <w:rFonts w:cs="Times New Roman"/>
          <w:szCs w:val="24"/>
          <w:lang w:val="en-GB"/>
        </w:rPr>
      </w:pPr>
      <w:r w:rsidRPr="00007646">
        <w:rPr>
          <w:rFonts w:cs="Times New Roman"/>
          <w:szCs w:val="24"/>
          <w:lang w:val="en-GB"/>
        </w:rPr>
        <w:t>FAO (2018). The future of food and agriculture – alternative pathways to 2050. Rome.</w:t>
      </w:r>
      <w:r w:rsidRPr="00007646">
        <w:rPr>
          <w:rFonts w:cs="Times New Roman"/>
          <w:szCs w:val="24"/>
          <w:lang w:val="en-GB"/>
        </w:rPr>
        <w:br/>
        <w:t>http://www.fao.org/publications/fofa/en/</w:t>
      </w:r>
    </w:p>
    <w:p w14:paraId="152C5D2C" w14:textId="77777777" w:rsidR="00371071" w:rsidRDefault="00371071" w:rsidP="00371071">
      <w:pPr>
        <w:rPr>
          <w:lang w:val="en-GB" w:eastAsia="sv-SE"/>
        </w:rPr>
      </w:pPr>
      <w:r>
        <w:rPr>
          <w:lang w:val="en-GB" w:eastAsia="sv-SE"/>
        </w:rPr>
        <w:t xml:space="preserve">Not mandatory podcast about the future of meat: </w:t>
      </w:r>
      <w:r w:rsidRPr="00E028AD">
        <w:rPr>
          <w:i/>
          <w:lang w:val="en-GB" w:eastAsia="sv-SE"/>
        </w:rPr>
        <w:t>Meat the four futures</w:t>
      </w:r>
      <w:r>
        <w:rPr>
          <w:lang w:val="en-GB" w:eastAsia="sv-SE"/>
        </w:rPr>
        <w:t xml:space="preserve"> by Table debates. The podcast is available where you usually listen to podcasts.</w:t>
      </w:r>
    </w:p>
    <w:p w14:paraId="61FF2EFC" w14:textId="77777777" w:rsidR="00371071" w:rsidRDefault="00371071" w:rsidP="00371071">
      <w:pPr>
        <w:pStyle w:val="Heading1"/>
        <w:rPr>
          <w:rFonts w:eastAsia="Times New Roman"/>
          <w:lang w:val="en-GB" w:eastAsia="sv-SE"/>
        </w:rPr>
      </w:pPr>
      <w:r>
        <w:rPr>
          <w:rFonts w:eastAsia="Times New Roman"/>
          <w:lang w:val="en-GB" w:eastAsia="sv-SE"/>
        </w:rPr>
        <w:t>Topic 1: The food consumer behaviour</w:t>
      </w:r>
    </w:p>
    <w:p w14:paraId="283FC931" w14:textId="30E00D4D" w:rsid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US"/>
        </w:rPr>
      </w:pPr>
      <w:r w:rsidRPr="00075600">
        <w:rPr>
          <w:rFonts w:eastAsia="Times New Roman" w:cstheme="minorHAnsi"/>
        </w:rPr>
        <w:t xml:space="preserve">Denver, S., Christensen, T., Nordström, J., 2021. </w:t>
      </w:r>
      <w:r w:rsidRPr="00075600">
        <w:rPr>
          <w:rFonts w:eastAsia="Times New Roman" w:cstheme="minorHAnsi"/>
          <w:lang w:val="en-US"/>
        </w:rPr>
        <w:t xml:space="preserve">Consumer preferences for low-salt foods: a Danish case study based on a comprehensive supermarket intervention. Public Health </w:t>
      </w:r>
      <w:proofErr w:type="spellStart"/>
      <w:r w:rsidRPr="00075600">
        <w:rPr>
          <w:rFonts w:eastAsia="Times New Roman" w:cstheme="minorHAnsi"/>
          <w:lang w:val="en-US"/>
        </w:rPr>
        <w:t>Nutr</w:t>
      </w:r>
      <w:proofErr w:type="spellEnd"/>
      <w:r w:rsidRPr="00075600">
        <w:rPr>
          <w:rFonts w:eastAsia="Times New Roman" w:cstheme="minorHAnsi"/>
          <w:lang w:val="en-US"/>
        </w:rPr>
        <w:t xml:space="preserve">. 24, 3956–3965. </w:t>
      </w:r>
      <w:hyperlink r:id="rId9" w:history="1">
        <w:r w:rsidRPr="00075600">
          <w:rPr>
            <w:rStyle w:val="Hyperlink"/>
            <w:rFonts w:eastAsia="Times New Roman" w:cstheme="minorHAnsi"/>
            <w:lang w:val="en-US"/>
          </w:rPr>
          <w:t>https://doi.org/DOI</w:t>
        </w:r>
      </w:hyperlink>
      <w:r w:rsidRPr="00075600">
        <w:rPr>
          <w:rFonts w:eastAsia="Times New Roman" w:cstheme="minorHAnsi"/>
          <w:lang w:val="en-US"/>
        </w:rPr>
        <w:t>: 10.1017/S1368980021002056</w:t>
      </w:r>
    </w:p>
    <w:p w14:paraId="1E6B0F07" w14:textId="77777777" w:rsidR="00075600" w:rsidRPr="00075600" w:rsidRDefault="00075600" w:rsidP="00075600">
      <w:pPr>
        <w:spacing w:after="0" w:line="240" w:lineRule="auto"/>
        <w:ind w:left="720"/>
        <w:rPr>
          <w:rFonts w:eastAsia="Times New Roman" w:cstheme="minorHAnsi"/>
          <w:lang w:val="en-US"/>
        </w:rPr>
      </w:pPr>
    </w:p>
    <w:p w14:paraId="32162914" w14:textId="757AA16F" w:rsid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</w:rPr>
      </w:pPr>
      <w:r w:rsidRPr="00075600">
        <w:rPr>
          <w:rFonts w:eastAsia="Times New Roman" w:cstheme="minorHAnsi"/>
          <w:lang w:val="da-DK"/>
        </w:rPr>
        <w:t xml:space="preserve">Edenbrandt, A. K., and Lagerkvist, C.-J. (2024). </w:t>
      </w:r>
      <w:r w:rsidRPr="00075600">
        <w:rPr>
          <w:rFonts w:eastAsia="Times New Roman" w:cstheme="minorHAnsi"/>
          <w:lang w:val="en-GB"/>
        </w:rPr>
        <w:t xml:space="preserve">Can gene-editing accelerate the protein shift? </w:t>
      </w:r>
      <w:proofErr w:type="spellStart"/>
      <w:r w:rsidRPr="00075600">
        <w:rPr>
          <w:rFonts w:eastAsia="Times New Roman" w:cstheme="minorHAnsi"/>
        </w:rPr>
        <w:t>Consumer</w:t>
      </w:r>
      <w:proofErr w:type="spellEnd"/>
      <w:r w:rsidRPr="00075600">
        <w:rPr>
          <w:rFonts w:eastAsia="Times New Roman" w:cstheme="minorHAnsi"/>
        </w:rPr>
        <w:t xml:space="preserve"> </w:t>
      </w:r>
      <w:proofErr w:type="spellStart"/>
      <w:r w:rsidRPr="00075600">
        <w:rPr>
          <w:rFonts w:eastAsia="Times New Roman" w:cstheme="minorHAnsi"/>
        </w:rPr>
        <w:t>acceptance</w:t>
      </w:r>
      <w:proofErr w:type="spellEnd"/>
      <w:r w:rsidRPr="00075600">
        <w:rPr>
          <w:rFonts w:eastAsia="Times New Roman" w:cstheme="minorHAnsi"/>
        </w:rPr>
        <w:t xml:space="preserve"> of an </w:t>
      </w:r>
      <w:proofErr w:type="spellStart"/>
      <w:r w:rsidRPr="00075600">
        <w:rPr>
          <w:rFonts w:eastAsia="Times New Roman" w:cstheme="minorHAnsi"/>
        </w:rPr>
        <w:t>upcycled</w:t>
      </w:r>
      <w:proofErr w:type="spellEnd"/>
      <w:r w:rsidRPr="00075600">
        <w:rPr>
          <w:rFonts w:eastAsia="Times New Roman" w:cstheme="minorHAnsi"/>
        </w:rPr>
        <w:t xml:space="preserve"> </w:t>
      </w:r>
      <w:proofErr w:type="spellStart"/>
      <w:r w:rsidRPr="00075600">
        <w:rPr>
          <w:rFonts w:eastAsia="Times New Roman" w:cstheme="minorHAnsi"/>
        </w:rPr>
        <w:t>meat-substitute</w:t>
      </w:r>
      <w:proofErr w:type="spellEnd"/>
      <w:r w:rsidRPr="00075600">
        <w:rPr>
          <w:rFonts w:eastAsia="Times New Roman" w:cstheme="minorHAnsi"/>
        </w:rPr>
        <w:t xml:space="preserve">. </w:t>
      </w:r>
      <w:r w:rsidRPr="00075600">
        <w:rPr>
          <w:rFonts w:eastAsia="Times New Roman" w:cstheme="minorHAnsi"/>
          <w:i/>
          <w:iCs/>
        </w:rPr>
        <w:t>Food Policy</w:t>
      </w:r>
      <w:r w:rsidRPr="00075600">
        <w:rPr>
          <w:rFonts w:eastAsia="Times New Roman" w:cstheme="minorHAnsi"/>
        </w:rPr>
        <w:t xml:space="preserve"> </w:t>
      </w:r>
      <w:r w:rsidRPr="00075600">
        <w:rPr>
          <w:rFonts w:eastAsia="Times New Roman" w:cstheme="minorHAnsi"/>
          <w:i/>
          <w:iCs/>
        </w:rPr>
        <w:t>126</w:t>
      </w:r>
      <w:r w:rsidRPr="00075600">
        <w:rPr>
          <w:rFonts w:eastAsia="Times New Roman" w:cstheme="minorHAnsi"/>
        </w:rPr>
        <w:t>: 102665.</w:t>
      </w:r>
    </w:p>
    <w:p w14:paraId="0BB1E920" w14:textId="77777777" w:rsidR="00075600" w:rsidRDefault="00075600" w:rsidP="00075600">
      <w:pPr>
        <w:pStyle w:val="ListParagraph"/>
        <w:rPr>
          <w:rFonts w:eastAsia="Times New Roman" w:cstheme="minorHAnsi"/>
        </w:rPr>
      </w:pPr>
    </w:p>
    <w:p w14:paraId="1732BAA9" w14:textId="690AE232" w:rsidR="00075600" w:rsidRP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US"/>
        </w:rPr>
      </w:pPr>
      <w:r w:rsidRPr="00075600">
        <w:rPr>
          <w:rFonts w:eastAsia="Times New Roman" w:cstheme="minorHAnsi"/>
        </w:rPr>
        <w:t xml:space="preserve">Edenbrandt, A.K., Nordström, J., 2023. </w:t>
      </w:r>
      <w:r w:rsidRPr="00075600">
        <w:rPr>
          <w:rFonts w:eastAsia="Times New Roman" w:cstheme="minorHAnsi"/>
          <w:lang w:val="en-US"/>
        </w:rPr>
        <w:t xml:space="preserve">The Future of Carbon labelling - factors to consider. Agric. </w:t>
      </w:r>
      <w:proofErr w:type="spellStart"/>
      <w:r w:rsidRPr="00075600">
        <w:rPr>
          <w:rFonts w:eastAsia="Times New Roman" w:cstheme="minorHAnsi"/>
          <w:lang w:val="en-US"/>
        </w:rPr>
        <w:t>Resour</w:t>
      </w:r>
      <w:proofErr w:type="spellEnd"/>
      <w:r w:rsidRPr="00075600">
        <w:rPr>
          <w:rFonts w:eastAsia="Times New Roman" w:cstheme="minorHAnsi"/>
          <w:lang w:val="en-US"/>
        </w:rPr>
        <w:t xml:space="preserve">. Econ. Rev. 1–17. </w:t>
      </w:r>
      <w:hyperlink r:id="rId10" w:history="1">
        <w:r w:rsidRPr="00075600">
          <w:rPr>
            <w:rStyle w:val="Hyperlink"/>
            <w:rFonts w:eastAsia="Times New Roman" w:cstheme="minorHAnsi"/>
            <w:lang w:val="en-US"/>
          </w:rPr>
          <w:t>https://doi.org/doi:10.1017/age.2022.29</w:t>
        </w:r>
      </w:hyperlink>
    </w:p>
    <w:p w14:paraId="61947C0B" w14:textId="312326B1" w:rsidR="00075600" w:rsidRPr="00075600" w:rsidRDefault="00075600" w:rsidP="00075600">
      <w:pPr>
        <w:spacing w:after="0" w:line="240" w:lineRule="auto"/>
        <w:rPr>
          <w:rFonts w:eastAsia="Times New Roman" w:cstheme="minorHAnsi"/>
          <w:lang w:val="en-US"/>
        </w:rPr>
      </w:pPr>
    </w:p>
    <w:p w14:paraId="102FA96F" w14:textId="309501F2" w:rsidR="00075600" w:rsidRP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da-DK"/>
        </w:rPr>
      </w:pPr>
      <w:proofErr w:type="spellStart"/>
      <w:r w:rsidRPr="00075600">
        <w:rPr>
          <w:rFonts w:eastAsia="Times New Roman" w:cstheme="minorHAnsi"/>
          <w:lang w:val="en-US"/>
        </w:rPr>
        <w:t>Faccioli</w:t>
      </w:r>
      <w:proofErr w:type="spellEnd"/>
      <w:r w:rsidRPr="00075600">
        <w:rPr>
          <w:rFonts w:eastAsia="Times New Roman" w:cstheme="minorHAnsi"/>
          <w:lang w:val="en-US"/>
        </w:rPr>
        <w:t xml:space="preserve">, M., Law, C., Caine, C.A., Berger, N., Yan, X., </w:t>
      </w:r>
      <w:proofErr w:type="spellStart"/>
      <w:r w:rsidRPr="00075600">
        <w:rPr>
          <w:rFonts w:eastAsia="Times New Roman" w:cstheme="minorHAnsi"/>
          <w:lang w:val="en-US"/>
        </w:rPr>
        <w:t>Weninger</w:t>
      </w:r>
      <w:proofErr w:type="spellEnd"/>
      <w:r w:rsidRPr="00075600">
        <w:rPr>
          <w:rFonts w:eastAsia="Times New Roman" w:cstheme="minorHAnsi"/>
          <w:lang w:val="en-US"/>
        </w:rPr>
        <w:t xml:space="preserve">, F., </w:t>
      </w:r>
      <w:proofErr w:type="spellStart"/>
      <w:r w:rsidRPr="00075600">
        <w:rPr>
          <w:rFonts w:eastAsia="Times New Roman" w:cstheme="minorHAnsi"/>
          <w:lang w:val="en-US"/>
        </w:rPr>
        <w:t>Guell</w:t>
      </w:r>
      <w:proofErr w:type="spellEnd"/>
      <w:r w:rsidRPr="00075600">
        <w:rPr>
          <w:rFonts w:eastAsia="Times New Roman" w:cstheme="minorHAnsi"/>
          <w:lang w:val="en-US"/>
        </w:rPr>
        <w:t xml:space="preserve">, C., Day, B., Smith, R.D., Bateman, I.J., 2022. Combined carbon and health taxes outperform single-purpose information or fiscal measures in designing sustainable food policies. </w:t>
      </w:r>
      <w:r w:rsidRPr="00075600">
        <w:rPr>
          <w:rFonts w:eastAsia="Times New Roman" w:cstheme="minorHAnsi"/>
          <w:lang w:val="da-DK"/>
        </w:rPr>
        <w:t xml:space="preserve">Nat. Food 3, 331–340. </w:t>
      </w:r>
      <w:r w:rsidRPr="00075600">
        <w:rPr>
          <w:rFonts w:eastAsia="Times New Roman" w:cstheme="minorHAnsi"/>
        </w:rPr>
        <w:fldChar w:fldCharType="begin"/>
      </w:r>
      <w:r w:rsidRPr="00075600">
        <w:rPr>
          <w:rFonts w:eastAsia="Times New Roman" w:cstheme="minorHAnsi"/>
        </w:rPr>
        <w:instrText xml:space="preserve"> HYPERLINK "https://doi.org/10.1038/s43016-022-00482-2" </w:instrText>
      </w:r>
      <w:r w:rsidRPr="00075600">
        <w:rPr>
          <w:rFonts w:eastAsia="Times New Roman" w:cstheme="minorHAnsi"/>
        </w:rPr>
        <w:fldChar w:fldCharType="separate"/>
      </w:r>
      <w:r w:rsidRPr="00075600">
        <w:rPr>
          <w:rStyle w:val="Hyperlink"/>
          <w:rFonts w:eastAsia="Times New Roman" w:cstheme="minorHAnsi"/>
          <w:lang w:val="da-DK"/>
        </w:rPr>
        <w:t>https://doi.org/10.1038/s43016-022-00482-2</w:t>
      </w:r>
      <w:r w:rsidRPr="00075600">
        <w:rPr>
          <w:rFonts w:eastAsia="Times New Roman" w:cstheme="minorHAnsi"/>
        </w:rPr>
        <w:fldChar w:fldCharType="end"/>
      </w:r>
    </w:p>
    <w:p w14:paraId="5F78688B" w14:textId="31E19B00" w:rsidR="00075600" w:rsidRPr="00075600" w:rsidRDefault="00075600" w:rsidP="00075600">
      <w:pPr>
        <w:spacing w:after="0" w:line="240" w:lineRule="auto"/>
        <w:rPr>
          <w:rFonts w:eastAsia="Times New Roman" w:cstheme="minorHAnsi"/>
          <w:lang w:val="da-DK"/>
        </w:rPr>
      </w:pPr>
    </w:p>
    <w:p w14:paraId="0F83B81B" w14:textId="2924EA64" w:rsid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US"/>
        </w:rPr>
      </w:pPr>
      <w:r w:rsidRPr="00075600">
        <w:rPr>
          <w:rFonts w:eastAsia="Times New Roman" w:cstheme="minorHAnsi"/>
          <w:lang w:val="en-GB"/>
        </w:rPr>
        <w:t xml:space="preserve">Just, D.R., Byrne, A.T., 2019. </w:t>
      </w:r>
      <w:r w:rsidRPr="00075600">
        <w:rPr>
          <w:rFonts w:eastAsia="Times New Roman" w:cstheme="minorHAnsi"/>
          <w:lang w:val="en-US"/>
        </w:rPr>
        <w:t xml:space="preserve">Evidence-based policy and food consumer </w:t>
      </w:r>
      <w:proofErr w:type="spellStart"/>
      <w:r w:rsidRPr="00075600">
        <w:rPr>
          <w:rFonts w:eastAsia="Times New Roman" w:cstheme="minorHAnsi"/>
          <w:lang w:val="en-US"/>
        </w:rPr>
        <w:t>behaviour</w:t>
      </w:r>
      <w:proofErr w:type="spellEnd"/>
      <w:r w:rsidRPr="00075600">
        <w:rPr>
          <w:rFonts w:eastAsia="Times New Roman" w:cstheme="minorHAnsi"/>
          <w:lang w:val="en-US"/>
        </w:rPr>
        <w:t>: how empirical challenges shape the evidence. Eur. Rev. Agric. Econ. 1–23.</w:t>
      </w:r>
    </w:p>
    <w:p w14:paraId="0840C6CA" w14:textId="74600082" w:rsidR="00075600" w:rsidRPr="00075600" w:rsidRDefault="00075600" w:rsidP="00075600">
      <w:pPr>
        <w:spacing w:after="0" w:line="240" w:lineRule="auto"/>
        <w:rPr>
          <w:rFonts w:eastAsia="Times New Roman" w:cstheme="minorHAnsi"/>
          <w:lang w:val="en-US"/>
        </w:rPr>
      </w:pPr>
    </w:p>
    <w:p w14:paraId="4B3AA0CD" w14:textId="77777777" w:rsidR="00075600" w:rsidRPr="00075600" w:rsidRDefault="00075600" w:rsidP="00075600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US"/>
        </w:rPr>
      </w:pPr>
      <w:r w:rsidRPr="00075600">
        <w:rPr>
          <w:rFonts w:eastAsia="Times New Roman" w:cstheme="minorHAnsi"/>
          <w:lang w:val="da-DK"/>
        </w:rPr>
        <w:t xml:space="preserve">Smed, S., Edenbrandt, A.K., Jansen, L., 2019. </w:t>
      </w:r>
      <w:r w:rsidRPr="00075600">
        <w:rPr>
          <w:rFonts w:eastAsia="Times New Roman" w:cstheme="minorHAnsi"/>
          <w:lang w:val="en-US"/>
        </w:rPr>
        <w:t xml:space="preserve">The effects of voluntary front-of-pack nutrition labels on volume shares of products : the case of the Dutch Choices. Public Health </w:t>
      </w:r>
      <w:proofErr w:type="spellStart"/>
      <w:r w:rsidRPr="00075600">
        <w:rPr>
          <w:rFonts w:eastAsia="Times New Roman" w:cstheme="minorHAnsi"/>
          <w:lang w:val="en-US"/>
        </w:rPr>
        <w:t>Nutr</w:t>
      </w:r>
      <w:proofErr w:type="spellEnd"/>
      <w:r w:rsidRPr="00075600">
        <w:rPr>
          <w:rFonts w:eastAsia="Times New Roman" w:cstheme="minorHAnsi"/>
          <w:lang w:val="en-US"/>
        </w:rPr>
        <w:t xml:space="preserve">. </w:t>
      </w:r>
      <w:hyperlink r:id="rId11" w:history="1">
        <w:r w:rsidRPr="00075600">
          <w:rPr>
            <w:rStyle w:val="Hyperlink"/>
            <w:rFonts w:eastAsia="Times New Roman" w:cstheme="minorHAnsi"/>
            <w:lang w:val="en-US"/>
          </w:rPr>
          <w:t>https://doi.org/10.1017/S1368980019001423</w:t>
        </w:r>
      </w:hyperlink>
    </w:p>
    <w:p w14:paraId="63824744" w14:textId="77777777" w:rsidR="00371071" w:rsidRPr="00926D77" w:rsidRDefault="00371071" w:rsidP="00371071">
      <w:pPr>
        <w:rPr>
          <w:lang w:val="en-US" w:eastAsia="sv-SE"/>
        </w:rPr>
      </w:pPr>
    </w:p>
    <w:p w14:paraId="17F4FA1C" w14:textId="77777777" w:rsidR="00371071" w:rsidRDefault="00371071" w:rsidP="00371071">
      <w:pPr>
        <w:pStyle w:val="Heading1"/>
        <w:rPr>
          <w:rFonts w:eastAsia="Times New Roman"/>
          <w:lang w:val="en-GB" w:eastAsia="sv-SE"/>
        </w:rPr>
      </w:pPr>
      <w:r>
        <w:rPr>
          <w:rFonts w:eastAsia="Times New Roman"/>
          <w:lang w:val="en-GB" w:eastAsia="sv-SE"/>
        </w:rPr>
        <w:t>Topic 2: Animal health and welfare economics</w:t>
      </w:r>
    </w:p>
    <w:p w14:paraId="1DCC7C78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sv-SE"/>
        </w:rPr>
      </w:pPr>
      <w:r w:rsidRPr="00075600">
        <w:rPr>
          <w:rFonts w:eastAsia="Times New Roman" w:cstheme="minorHAnsi"/>
          <w:lang w:val="en-GB" w:eastAsia="sv-SE"/>
        </w:rPr>
        <w:t xml:space="preserve">Owusu-Sekyere, E., Hansson, H., Telezhenko, E., Nyman, A.-K. </w:t>
      </w:r>
      <w:proofErr w:type="gramStart"/>
      <w:r w:rsidRPr="00075600">
        <w:rPr>
          <w:rFonts w:eastAsia="Times New Roman" w:cstheme="minorHAnsi"/>
          <w:lang w:val="en-GB" w:eastAsia="sv-SE"/>
        </w:rPr>
        <w:t>and</w:t>
      </w:r>
      <w:proofErr w:type="gramEnd"/>
      <w:r w:rsidRPr="00075600">
        <w:rPr>
          <w:rFonts w:eastAsia="Times New Roman" w:cstheme="minorHAnsi"/>
          <w:lang w:val="en-GB" w:eastAsia="sv-SE"/>
        </w:rPr>
        <w:t xml:space="preserve"> Ahmed, H. (2023), "Economic impact of investment in animal welfare–enhancing flooring solutions – Implications for promoting sustainable dairy production in Sweden", </w:t>
      </w:r>
      <w:r w:rsidRPr="00075600">
        <w:rPr>
          <w:rFonts w:eastAsia="Times New Roman" w:cstheme="minorHAnsi"/>
          <w:i/>
          <w:lang w:val="en-GB" w:eastAsia="sv-SE"/>
        </w:rPr>
        <w:t>British Food Journal</w:t>
      </w:r>
      <w:r w:rsidRPr="00075600">
        <w:rPr>
          <w:rFonts w:eastAsia="Times New Roman" w:cstheme="minorHAnsi"/>
          <w:lang w:val="en-GB" w:eastAsia="sv-SE"/>
        </w:rPr>
        <w:t xml:space="preserve">, Vol. 125 No. 12, pp. 4415-4444. </w:t>
      </w:r>
      <w:hyperlink r:id="rId12" w:history="1">
        <w:r w:rsidRPr="00075600">
          <w:rPr>
            <w:rFonts w:eastAsia="Times New Roman" w:cstheme="minorHAnsi"/>
            <w:color w:val="0000FF"/>
            <w:u w:val="single"/>
            <w:lang w:eastAsia="sv-SE"/>
          </w:rPr>
          <w:t>https://doi.org/10.1108/BFJ-06-2022-0523</w:t>
        </w:r>
      </w:hyperlink>
      <w:r w:rsidRPr="00075600">
        <w:rPr>
          <w:rFonts w:eastAsia="Times New Roman" w:cstheme="minorHAnsi"/>
          <w:lang w:eastAsia="sv-SE"/>
        </w:rPr>
        <w:t xml:space="preserve"> . </w:t>
      </w:r>
    </w:p>
    <w:p w14:paraId="48CFD0B9" w14:textId="77777777" w:rsidR="00075600" w:rsidRPr="00075600" w:rsidRDefault="00075600" w:rsidP="00075600">
      <w:pPr>
        <w:spacing w:after="0"/>
        <w:rPr>
          <w:rFonts w:eastAsia="Times New Roman" w:cstheme="minorHAnsi"/>
          <w:lang w:eastAsia="sv-SE"/>
        </w:rPr>
      </w:pPr>
    </w:p>
    <w:p w14:paraId="67872DD5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val="en-GB" w:eastAsia="sv-SE"/>
        </w:rPr>
      </w:pPr>
      <w:r w:rsidRPr="00075600">
        <w:rPr>
          <w:rFonts w:eastAsia="Times New Roman" w:cstheme="minorHAnsi"/>
          <w:lang w:eastAsia="sv-SE"/>
        </w:rPr>
        <w:t xml:space="preserve">Owusu-Sekyere, E., Hansson, H., &amp; Telezhenko, E. (2022). </w:t>
      </w:r>
      <w:r w:rsidRPr="00075600">
        <w:rPr>
          <w:rFonts w:eastAsia="Times New Roman" w:cstheme="minorHAnsi"/>
          <w:lang w:val="en-GB" w:eastAsia="sv-SE"/>
        </w:rPr>
        <w:t xml:space="preserve">Use and non-use values to explain farmers’ motivation for the provision of animal welfare. </w:t>
      </w:r>
      <w:r w:rsidRPr="00075600">
        <w:rPr>
          <w:rFonts w:eastAsia="Times New Roman" w:cstheme="minorHAnsi"/>
          <w:i/>
          <w:iCs/>
          <w:lang w:val="en-GB" w:eastAsia="sv-SE"/>
        </w:rPr>
        <w:t>European Review of Agricultural Economics</w:t>
      </w:r>
      <w:r w:rsidRPr="00075600">
        <w:rPr>
          <w:rFonts w:eastAsia="Times New Roman" w:cstheme="minorHAnsi"/>
          <w:lang w:val="en-GB" w:eastAsia="sv-SE"/>
        </w:rPr>
        <w:t xml:space="preserve">, </w:t>
      </w:r>
      <w:r w:rsidRPr="00075600">
        <w:rPr>
          <w:rFonts w:eastAsia="Times New Roman" w:cstheme="minorHAnsi"/>
          <w:i/>
          <w:iCs/>
          <w:lang w:val="en-GB" w:eastAsia="sv-SE"/>
        </w:rPr>
        <w:t>49</w:t>
      </w:r>
      <w:r w:rsidRPr="00075600">
        <w:rPr>
          <w:rFonts w:eastAsia="Times New Roman" w:cstheme="minorHAnsi"/>
          <w:lang w:val="en-GB" w:eastAsia="sv-SE"/>
        </w:rPr>
        <w:t xml:space="preserve">(2), 499–525. </w:t>
      </w:r>
      <w:hyperlink r:id="rId13" w:history="1">
        <w:r w:rsidRPr="00075600">
          <w:rPr>
            <w:rStyle w:val="Hyperlink"/>
            <w:rFonts w:eastAsia="Times New Roman" w:cstheme="minorHAnsi"/>
            <w:lang w:val="en-GB" w:eastAsia="sv-SE"/>
          </w:rPr>
          <w:t>https://doi.org/10.1093/erae/jbab012</w:t>
        </w:r>
      </w:hyperlink>
      <w:r w:rsidRPr="00075600">
        <w:rPr>
          <w:rFonts w:eastAsia="Times New Roman" w:cstheme="minorHAnsi"/>
          <w:lang w:val="en-GB" w:eastAsia="sv-SE"/>
        </w:rPr>
        <w:t xml:space="preserve"> </w:t>
      </w:r>
    </w:p>
    <w:p w14:paraId="47F64268" w14:textId="77777777" w:rsidR="00075600" w:rsidRPr="00075600" w:rsidRDefault="00075600" w:rsidP="00075600">
      <w:pPr>
        <w:spacing w:after="0"/>
        <w:rPr>
          <w:rFonts w:eastAsia="Times New Roman" w:cstheme="minorHAnsi"/>
          <w:lang w:val="en-GB" w:eastAsia="sv-SE"/>
        </w:rPr>
      </w:pPr>
    </w:p>
    <w:p w14:paraId="4D5E7D8D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val="en-GB" w:eastAsia="sv-SE"/>
        </w:rPr>
      </w:pPr>
      <w:r w:rsidRPr="00075600">
        <w:rPr>
          <w:rFonts w:eastAsia="Times New Roman" w:cstheme="minorHAnsi"/>
          <w:lang w:val="en-GB" w:eastAsia="sv-SE"/>
        </w:rPr>
        <w:t xml:space="preserve">Guy, J. H., Cain, P. J., Seddon, Y. M., Baxter, E. M., &amp; Edwards, S. A. (2012). Economic evaluation of high welfare indoor farrowing systems for pigs. </w:t>
      </w:r>
      <w:r w:rsidRPr="00075600">
        <w:rPr>
          <w:rFonts w:eastAsia="Times New Roman" w:cstheme="minorHAnsi"/>
          <w:i/>
          <w:iCs/>
          <w:lang w:val="en-GB" w:eastAsia="sv-SE"/>
        </w:rPr>
        <w:t>Animal Welfare</w:t>
      </w:r>
      <w:r w:rsidRPr="00075600">
        <w:rPr>
          <w:rFonts w:eastAsia="Times New Roman" w:cstheme="minorHAnsi"/>
          <w:lang w:val="en-GB" w:eastAsia="sv-SE"/>
        </w:rPr>
        <w:t xml:space="preserve">, </w:t>
      </w:r>
      <w:r w:rsidRPr="00075600">
        <w:rPr>
          <w:rFonts w:eastAsia="Times New Roman" w:cstheme="minorHAnsi"/>
          <w:i/>
          <w:iCs/>
          <w:lang w:val="en-GB" w:eastAsia="sv-SE"/>
        </w:rPr>
        <w:t>21</w:t>
      </w:r>
      <w:r w:rsidRPr="00075600">
        <w:rPr>
          <w:rFonts w:eastAsia="Times New Roman" w:cstheme="minorHAnsi"/>
          <w:lang w:val="en-GB" w:eastAsia="sv-SE"/>
        </w:rPr>
        <w:t xml:space="preserve">(SUPPL. 1), 19–24. </w:t>
      </w:r>
      <w:hyperlink r:id="rId14" w:history="1">
        <w:r w:rsidRPr="00075600">
          <w:rPr>
            <w:rStyle w:val="Hyperlink"/>
            <w:rFonts w:eastAsia="Times New Roman" w:cstheme="minorHAnsi"/>
            <w:lang w:val="en-GB" w:eastAsia="sv-SE"/>
          </w:rPr>
          <w:t>https://doi.org/10.7120/096272812X13345905673520</w:t>
        </w:r>
      </w:hyperlink>
      <w:r w:rsidRPr="00075600">
        <w:rPr>
          <w:rFonts w:eastAsia="Times New Roman" w:cstheme="minorHAnsi"/>
          <w:lang w:val="en-GB" w:eastAsia="sv-SE"/>
        </w:rPr>
        <w:t xml:space="preserve"> </w:t>
      </w:r>
    </w:p>
    <w:p w14:paraId="3D036809" w14:textId="77777777" w:rsidR="00075600" w:rsidRPr="00075600" w:rsidRDefault="00075600" w:rsidP="00075600">
      <w:pPr>
        <w:spacing w:after="0"/>
        <w:rPr>
          <w:rFonts w:eastAsia="Times New Roman" w:cstheme="minorHAnsi"/>
          <w:lang w:val="en-GB" w:eastAsia="sv-SE"/>
        </w:rPr>
      </w:pPr>
    </w:p>
    <w:p w14:paraId="46BAE4A1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val="en-GB" w:eastAsia="sv-SE"/>
        </w:rPr>
      </w:pPr>
      <w:proofErr w:type="spellStart"/>
      <w:r w:rsidRPr="00075600">
        <w:rPr>
          <w:rFonts w:eastAsia="Times New Roman" w:cstheme="minorHAnsi"/>
          <w:lang w:val="en-GB" w:eastAsia="sv-SE"/>
        </w:rPr>
        <w:lastRenderedPageBreak/>
        <w:t>Bornett</w:t>
      </w:r>
      <w:proofErr w:type="spellEnd"/>
      <w:r w:rsidRPr="00075600">
        <w:rPr>
          <w:rFonts w:eastAsia="Times New Roman" w:cstheme="minorHAnsi"/>
          <w:lang w:val="en-GB" w:eastAsia="sv-SE"/>
        </w:rPr>
        <w:t xml:space="preserve">, H. L. I., Guy, J. H., &amp; Cain, P. J. (2003). </w:t>
      </w:r>
      <w:r w:rsidRPr="00075600">
        <w:rPr>
          <w:rFonts w:eastAsia="Times New Roman" w:cstheme="minorHAnsi"/>
          <w:iCs/>
          <w:lang w:val="en-GB" w:eastAsia="sv-SE"/>
        </w:rPr>
        <w:t>Impact of animal welfare on costs and viability of pig production in the UK</w:t>
      </w:r>
      <w:r w:rsidRPr="00075600">
        <w:rPr>
          <w:rFonts w:eastAsia="Times New Roman" w:cstheme="minorHAnsi"/>
          <w:lang w:val="en-GB" w:eastAsia="sv-SE"/>
        </w:rPr>
        <w:t>.</w:t>
      </w:r>
      <w:r w:rsidRPr="00075600">
        <w:rPr>
          <w:rFonts w:cstheme="minorHAnsi"/>
          <w:lang w:val="en-GB"/>
        </w:rPr>
        <w:t xml:space="preserve"> </w:t>
      </w:r>
      <w:r w:rsidRPr="00075600">
        <w:rPr>
          <w:rFonts w:eastAsia="Times New Roman" w:cstheme="minorHAnsi"/>
          <w:i/>
          <w:lang w:val="en-GB" w:eastAsia="sv-SE"/>
        </w:rPr>
        <w:t>Journal of Agricultural and Environmental Ethics</w:t>
      </w:r>
      <w:r w:rsidRPr="00075600">
        <w:rPr>
          <w:rFonts w:eastAsia="Times New Roman" w:cstheme="minorHAnsi"/>
          <w:lang w:val="en-GB" w:eastAsia="sv-SE"/>
        </w:rPr>
        <w:t xml:space="preserve"> 16: 163–186, 2003. </w:t>
      </w:r>
      <w:hyperlink r:id="rId15" w:history="1">
        <w:r w:rsidRPr="00075600">
          <w:rPr>
            <w:rStyle w:val="Hyperlink"/>
            <w:rFonts w:cstheme="minorHAnsi"/>
            <w:shd w:val="clear" w:color="auto" w:fill="FFFFFF"/>
            <w:lang w:val="en-GB"/>
          </w:rPr>
          <w:t>https://doi.org/10.1023/A:1022994131594</w:t>
        </w:r>
      </w:hyperlink>
      <w:r w:rsidRPr="00075600">
        <w:rPr>
          <w:rFonts w:cstheme="minorHAnsi"/>
          <w:color w:val="222222"/>
          <w:shd w:val="clear" w:color="auto" w:fill="FFFFFF"/>
          <w:lang w:val="en-GB"/>
        </w:rPr>
        <w:t xml:space="preserve"> </w:t>
      </w:r>
      <w:r w:rsidRPr="00075600">
        <w:rPr>
          <w:rFonts w:eastAsia="Times New Roman" w:cstheme="minorHAnsi"/>
          <w:lang w:val="en-GB" w:eastAsia="sv-SE"/>
        </w:rPr>
        <w:t xml:space="preserve"> </w:t>
      </w:r>
    </w:p>
    <w:p w14:paraId="0AE1D9A5" w14:textId="77777777" w:rsidR="00075600" w:rsidRPr="00075600" w:rsidRDefault="00075600" w:rsidP="00075600">
      <w:pPr>
        <w:spacing w:after="0"/>
        <w:rPr>
          <w:rFonts w:eastAsia="Times New Roman" w:cstheme="minorHAnsi"/>
          <w:lang w:val="en-GB" w:eastAsia="sv-SE"/>
        </w:rPr>
      </w:pPr>
    </w:p>
    <w:p w14:paraId="15674AAA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eastAsia="sv-SE"/>
        </w:rPr>
      </w:pPr>
      <w:r w:rsidRPr="00075600">
        <w:rPr>
          <w:rFonts w:eastAsia="Times New Roman" w:cstheme="minorHAnsi"/>
          <w:lang w:val="en-GB" w:eastAsia="sv-SE"/>
        </w:rPr>
        <w:t xml:space="preserve">Ahmadi, V., Stott, A. W., Baxter, E. M., Lawrence, A. B., &amp; Edwards, S. A. (2011). </w:t>
      </w:r>
      <w:r w:rsidRPr="00075600">
        <w:rPr>
          <w:rFonts w:eastAsia="Times New Roman" w:cstheme="minorHAnsi"/>
          <w:i/>
          <w:iCs/>
          <w:lang w:val="en-GB" w:eastAsia="sv-SE"/>
        </w:rPr>
        <w:t>Animal welfare and economic optimisation of farrowing systems</w:t>
      </w:r>
      <w:r w:rsidRPr="00075600">
        <w:rPr>
          <w:rFonts w:eastAsia="Times New Roman" w:cstheme="minorHAnsi"/>
          <w:lang w:val="en-GB" w:eastAsia="sv-SE"/>
        </w:rPr>
        <w:t xml:space="preserve">. Animal Welfare, Volume 20, Number 1, February 2011, pp. 57-67(11). </w:t>
      </w:r>
      <w:hyperlink r:id="rId16" w:history="1">
        <w:r w:rsidRPr="00075600">
          <w:rPr>
            <w:rStyle w:val="Hyperlink"/>
            <w:rFonts w:eastAsia="Times New Roman" w:cstheme="minorHAnsi"/>
            <w:lang w:eastAsia="sv-SE"/>
          </w:rPr>
          <w:t>https://doi.org/10.1017/S0962728600002438</w:t>
        </w:r>
      </w:hyperlink>
      <w:r w:rsidRPr="00075600">
        <w:rPr>
          <w:rFonts w:eastAsia="Times New Roman" w:cstheme="minorHAnsi"/>
          <w:lang w:eastAsia="sv-SE"/>
        </w:rPr>
        <w:t xml:space="preserve"> </w:t>
      </w:r>
    </w:p>
    <w:p w14:paraId="36A80651" w14:textId="77777777" w:rsidR="00075600" w:rsidRPr="00075600" w:rsidRDefault="00075600" w:rsidP="00075600">
      <w:pPr>
        <w:spacing w:after="0"/>
        <w:rPr>
          <w:rFonts w:eastAsia="Times New Roman" w:cstheme="minorHAnsi"/>
          <w:lang w:eastAsia="sv-SE"/>
        </w:rPr>
      </w:pPr>
    </w:p>
    <w:p w14:paraId="670731DB" w14:textId="77777777" w:rsidR="00075600" w:rsidRPr="00075600" w:rsidRDefault="00075600" w:rsidP="00075600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val="en-GB" w:eastAsia="sv-SE"/>
        </w:rPr>
      </w:pPr>
      <w:r w:rsidRPr="00075600">
        <w:rPr>
          <w:rFonts w:eastAsia="Times New Roman" w:cstheme="minorHAnsi"/>
          <w:lang w:eastAsia="sv-SE"/>
        </w:rPr>
        <w:t xml:space="preserve">Jensen, T. B., </w:t>
      </w:r>
      <w:proofErr w:type="spellStart"/>
      <w:r w:rsidRPr="00075600">
        <w:rPr>
          <w:rFonts w:eastAsia="Times New Roman" w:cstheme="minorHAnsi"/>
          <w:lang w:eastAsia="sv-SE"/>
        </w:rPr>
        <w:t>Baadsgaard</w:t>
      </w:r>
      <w:proofErr w:type="spellEnd"/>
      <w:r w:rsidRPr="00075600">
        <w:rPr>
          <w:rFonts w:eastAsia="Times New Roman" w:cstheme="minorHAnsi"/>
          <w:lang w:eastAsia="sv-SE"/>
        </w:rPr>
        <w:t xml:space="preserve">, N. P., </w:t>
      </w:r>
      <w:proofErr w:type="spellStart"/>
      <w:r w:rsidRPr="00075600">
        <w:rPr>
          <w:rFonts w:eastAsia="Times New Roman" w:cstheme="minorHAnsi"/>
          <w:lang w:eastAsia="sv-SE"/>
        </w:rPr>
        <w:t>Houe</w:t>
      </w:r>
      <w:proofErr w:type="spellEnd"/>
      <w:r w:rsidRPr="00075600">
        <w:rPr>
          <w:rFonts w:eastAsia="Times New Roman" w:cstheme="minorHAnsi"/>
          <w:lang w:eastAsia="sv-SE"/>
        </w:rPr>
        <w:t xml:space="preserve">, H., Toft, N., &amp; Østergaard, S. (2008). </w:t>
      </w:r>
      <w:r w:rsidRPr="00075600">
        <w:rPr>
          <w:rFonts w:eastAsia="Times New Roman" w:cstheme="minorHAnsi"/>
          <w:lang w:val="en-GB" w:eastAsia="sv-SE"/>
        </w:rPr>
        <w:t xml:space="preserve">The association between disease and profitability in individual finishing boars at a test station. </w:t>
      </w:r>
      <w:r w:rsidRPr="00075600">
        <w:rPr>
          <w:rFonts w:eastAsia="Times New Roman" w:cstheme="minorHAnsi"/>
          <w:i/>
          <w:iCs/>
          <w:lang w:val="en-GB" w:eastAsia="sv-SE"/>
        </w:rPr>
        <w:t>Livestock Science</w:t>
      </w:r>
      <w:r w:rsidRPr="00075600">
        <w:rPr>
          <w:rFonts w:eastAsia="Times New Roman" w:cstheme="minorHAnsi"/>
          <w:lang w:val="en-GB" w:eastAsia="sv-SE"/>
        </w:rPr>
        <w:t xml:space="preserve">, </w:t>
      </w:r>
      <w:r w:rsidRPr="00075600">
        <w:rPr>
          <w:rFonts w:eastAsia="Times New Roman" w:cstheme="minorHAnsi"/>
          <w:i/>
          <w:iCs/>
          <w:lang w:val="en-GB" w:eastAsia="sv-SE"/>
        </w:rPr>
        <w:t>117</w:t>
      </w:r>
      <w:r w:rsidRPr="00075600">
        <w:rPr>
          <w:rFonts w:eastAsia="Times New Roman" w:cstheme="minorHAnsi"/>
          <w:lang w:val="en-GB" w:eastAsia="sv-SE"/>
        </w:rPr>
        <w:t xml:space="preserve">(1), 101–108. </w:t>
      </w:r>
      <w:hyperlink r:id="rId17" w:history="1">
        <w:r w:rsidRPr="00075600">
          <w:rPr>
            <w:rStyle w:val="Hyperlink"/>
            <w:rFonts w:eastAsia="Times New Roman" w:cstheme="minorHAnsi"/>
            <w:lang w:val="en-GB" w:eastAsia="sv-SE"/>
          </w:rPr>
          <w:t>https://doi.org/10.1016/j.livsci.2007.12.003</w:t>
        </w:r>
      </w:hyperlink>
      <w:r w:rsidRPr="00075600">
        <w:rPr>
          <w:rFonts w:eastAsia="Times New Roman" w:cstheme="minorHAnsi"/>
          <w:lang w:val="en-GB" w:eastAsia="sv-SE"/>
        </w:rPr>
        <w:t xml:space="preserve"> </w:t>
      </w:r>
    </w:p>
    <w:p w14:paraId="169B662F" w14:textId="77777777" w:rsidR="00371071" w:rsidRPr="00EA53B8" w:rsidRDefault="00371071" w:rsidP="00371071">
      <w:pPr>
        <w:rPr>
          <w:lang w:val="en-GB" w:eastAsia="sv-SE"/>
        </w:rPr>
      </w:pPr>
    </w:p>
    <w:p w14:paraId="62ABE99F" w14:textId="77777777" w:rsidR="00371071" w:rsidRDefault="00371071" w:rsidP="00371071">
      <w:pPr>
        <w:pStyle w:val="Heading1"/>
        <w:rPr>
          <w:lang w:val="en-GB"/>
        </w:rPr>
      </w:pPr>
      <w:r>
        <w:rPr>
          <w:lang w:val="en-GB"/>
        </w:rPr>
        <w:t>Topic 3: Resilient agricultural systems</w:t>
      </w:r>
    </w:p>
    <w:p w14:paraId="782E5CB7" w14:textId="77777777" w:rsidR="00371071" w:rsidRDefault="00371071" w:rsidP="00371071">
      <w:pPr>
        <w:pStyle w:val="Heading2"/>
        <w:rPr>
          <w:lang w:val="en-GB"/>
        </w:rPr>
      </w:pPr>
    </w:p>
    <w:p w14:paraId="25A7BE29" w14:textId="77777777" w:rsidR="00371071" w:rsidRPr="007F2C34" w:rsidRDefault="00371071" w:rsidP="00371071">
      <w:pPr>
        <w:pStyle w:val="Heading2"/>
        <w:rPr>
          <w:lang w:val="en-GB"/>
        </w:rPr>
      </w:pPr>
      <w:r w:rsidRPr="007F2C34">
        <w:rPr>
          <w:lang w:val="en-GB"/>
        </w:rPr>
        <w:t>Why does resilience matter?</w:t>
      </w:r>
    </w:p>
    <w:p w14:paraId="2F36F11B" w14:textId="77777777" w:rsidR="00371071" w:rsidRDefault="00371071" w:rsidP="00371071">
      <w:pPr>
        <w:pStyle w:val="NoSpacing"/>
        <w:numPr>
          <w:ilvl w:val="0"/>
          <w:numId w:val="14"/>
        </w:numPr>
        <w:rPr>
          <w:lang w:val="en-GB"/>
        </w:rPr>
      </w:pPr>
      <w:proofErr w:type="spellStart"/>
      <w:r w:rsidRPr="007F2C34">
        <w:rPr>
          <w:lang w:val="en-GB"/>
        </w:rPr>
        <w:t>Darnhofer</w:t>
      </w:r>
      <w:proofErr w:type="spellEnd"/>
      <w:r w:rsidRPr="007F2C34">
        <w:rPr>
          <w:lang w:val="en-GB"/>
        </w:rPr>
        <w:t xml:space="preserve">, I. (2021). Resilience or how do we enable agricultural systems to ride the waves of unexpected change? </w:t>
      </w:r>
      <w:r w:rsidRPr="007F2C34">
        <w:rPr>
          <w:i/>
          <w:iCs/>
          <w:lang w:val="en-GB"/>
        </w:rPr>
        <w:t>Agricultural Systems</w:t>
      </w:r>
      <w:r w:rsidRPr="007F2C34">
        <w:rPr>
          <w:lang w:val="en-GB"/>
        </w:rPr>
        <w:t xml:space="preserve">, </w:t>
      </w:r>
      <w:r w:rsidRPr="007F2C34">
        <w:rPr>
          <w:i/>
          <w:iCs/>
          <w:lang w:val="en-GB"/>
        </w:rPr>
        <w:t>187</w:t>
      </w:r>
      <w:r w:rsidRPr="007F2C34">
        <w:rPr>
          <w:lang w:val="en-GB"/>
        </w:rPr>
        <w:t xml:space="preserve">, 102997. </w:t>
      </w:r>
      <w:hyperlink r:id="rId18" w:history="1">
        <w:r w:rsidRPr="00913E20">
          <w:rPr>
            <w:rStyle w:val="Hyperlink"/>
            <w:lang w:val="en-GB"/>
          </w:rPr>
          <w:t>https://doi.org/10.1016/j.agsy.2020.102997</w:t>
        </w:r>
      </w:hyperlink>
    </w:p>
    <w:p w14:paraId="69CC53DA" w14:textId="77777777" w:rsidR="00371071" w:rsidRDefault="00371071" w:rsidP="00371071">
      <w:pPr>
        <w:pStyle w:val="NoSpacing"/>
        <w:rPr>
          <w:lang w:val="en-GB"/>
        </w:rPr>
      </w:pPr>
    </w:p>
    <w:p w14:paraId="5EB9B121" w14:textId="77777777" w:rsidR="00371071" w:rsidRDefault="00371071" w:rsidP="00371071">
      <w:pPr>
        <w:pStyle w:val="NoSpacing"/>
        <w:ind w:firstLine="720"/>
        <w:rPr>
          <w:lang w:val="en-GB"/>
        </w:rPr>
      </w:pPr>
      <w:proofErr w:type="spellStart"/>
      <w:r>
        <w:rPr>
          <w:lang w:val="en-GB"/>
        </w:rPr>
        <w:t>Darnhofer</w:t>
      </w:r>
      <w:proofErr w:type="spellEnd"/>
      <w:r>
        <w:rPr>
          <w:lang w:val="en-GB"/>
        </w:rPr>
        <w:t xml:space="preserve"> (2021) is a great introduction to why resilience matters. </w:t>
      </w:r>
    </w:p>
    <w:p w14:paraId="14CD1E26" w14:textId="77777777" w:rsidR="00371071" w:rsidRDefault="00371071" w:rsidP="00371071">
      <w:pPr>
        <w:pStyle w:val="NoSpacing"/>
        <w:rPr>
          <w:lang w:val="en-GB"/>
        </w:rPr>
      </w:pPr>
    </w:p>
    <w:p w14:paraId="1C0A6582" w14:textId="77777777" w:rsidR="00371071" w:rsidRDefault="00371071" w:rsidP="00371071">
      <w:pPr>
        <w:pStyle w:val="Heading2"/>
        <w:rPr>
          <w:lang w:val="en-GB"/>
        </w:rPr>
      </w:pPr>
      <w:r w:rsidRPr="007F2C34">
        <w:rPr>
          <w:lang w:val="en-GB"/>
        </w:rPr>
        <w:t>What is resilience?</w:t>
      </w:r>
    </w:p>
    <w:p w14:paraId="55E4ED90" w14:textId="77777777" w:rsidR="00371071" w:rsidRDefault="00371071" w:rsidP="00371071">
      <w:pPr>
        <w:pStyle w:val="NoSpacing"/>
        <w:numPr>
          <w:ilvl w:val="0"/>
          <w:numId w:val="14"/>
        </w:numPr>
        <w:rPr>
          <w:lang w:val="en-GB"/>
        </w:rPr>
      </w:pPr>
      <w:r w:rsidRPr="007F2C34">
        <w:rPr>
          <w:lang w:val="en-GB"/>
        </w:rPr>
        <w:t xml:space="preserve">Meuwissen, M. P. M., Feindt, P. H., Spiegel, A., Termeer, C. J. A. M., Mathijs, E., Mey, Y. de, Finger, R., </w:t>
      </w:r>
      <w:proofErr w:type="spellStart"/>
      <w:r w:rsidRPr="007F2C34">
        <w:rPr>
          <w:lang w:val="en-GB"/>
        </w:rPr>
        <w:t>Balmann</w:t>
      </w:r>
      <w:proofErr w:type="spellEnd"/>
      <w:r w:rsidRPr="007F2C34">
        <w:rPr>
          <w:lang w:val="en-GB"/>
        </w:rPr>
        <w:t xml:space="preserve">, A., Wauters, E., Urquhart, J., </w:t>
      </w:r>
      <w:proofErr w:type="spellStart"/>
      <w:r w:rsidRPr="007F2C34">
        <w:rPr>
          <w:lang w:val="en-GB"/>
        </w:rPr>
        <w:t>Vigani</w:t>
      </w:r>
      <w:proofErr w:type="spellEnd"/>
      <w:r w:rsidRPr="007F2C34">
        <w:rPr>
          <w:lang w:val="en-GB"/>
        </w:rPr>
        <w:t xml:space="preserve">, M., Zawalińska, K., Herrera, H., Nicholas-Davies, P., Hansson, H., Paas, W., Slijper, T., Coopmans, I., </w:t>
      </w:r>
      <w:proofErr w:type="spellStart"/>
      <w:r w:rsidRPr="007F2C34">
        <w:rPr>
          <w:lang w:val="en-GB"/>
        </w:rPr>
        <w:t>Vroege</w:t>
      </w:r>
      <w:proofErr w:type="spellEnd"/>
      <w:r w:rsidRPr="007F2C34">
        <w:rPr>
          <w:lang w:val="en-GB"/>
        </w:rPr>
        <w:t xml:space="preserve">, W., … Reidsma, P. (2019). A framework to assess the resilience of farming systems. </w:t>
      </w:r>
      <w:r w:rsidRPr="007F2C34">
        <w:rPr>
          <w:i/>
          <w:iCs/>
          <w:lang w:val="en-GB"/>
        </w:rPr>
        <w:t>Agricultural Systems</w:t>
      </w:r>
      <w:r w:rsidRPr="007F2C34">
        <w:rPr>
          <w:lang w:val="en-GB"/>
        </w:rPr>
        <w:t xml:space="preserve">, </w:t>
      </w:r>
      <w:r w:rsidRPr="007F2C34">
        <w:rPr>
          <w:i/>
          <w:iCs/>
          <w:lang w:val="en-GB"/>
        </w:rPr>
        <w:t>176</w:t>
      </w:r>
      <w:r w:rsidRPr="007F2C34">
        <w:rPr>
          <w:lang w:val="en-GB"/>
        </w:rPr>
        <w:t xml:space="preserve">, 102656. </w:t>
      </w:r>
      <w:hyperlink r:id="rId19" w:history="1">
        <w:r w:rsidRPr="00913E20">
          <w:rPr>
            <w:rStyle w:val="Hyperlink"/>
            <w:lang w:val="en-GB"/>
          </w:rPr>
          <w:t>https://doi.org/10.1016/j.agsy.2019.102656</w:t>
        </w:r>
      </w:hyperlink>
    </w:p>
    <w:p w14:paraId="4A7A9623" w14:textId="77777777" w:rsidR="00371071" w:rsidRDefault="00371071" w:rsidP="00371071">
      <w:pPr>
        <w:pStyle w:val="NoSpacing"/>
        <w:ind w:left="720"/>
        <w:rPr>
          <w:lang w:val="en-GB"/>
        </w:rPr>
      </w:pPr>
    </w:p>
    <w:p w14:paraId="5BDE9AF9" w14:textId="77777777" w:rsidR="00371071" w:rsidRDefault="00371071" w:rsidP="00371071">
      <w:pPr>
        <w:pStyle w:val="NoSpacing"/>
        <w:numPr>
          <w:ilvl w:val="0"/>
          <w:numId w:val="14"/>
        </w:numPr>
        <w:rPr>
          <w:lang w:val="en-GB"/>
        </w:rPr>
      </w:pPr>
      <w:r w:rsidRPr="00F7449A">
        <w:rPr>
          <w:lang w:val="en-GB"/>
        </w:rPr>
        <w:t>Meuwissen et al. (2019) describe</w:t>
      </w:r>
      <w:r>
        <w:rPr>
          <w:lang w:val="en-GB"/>
        </w:rPr>
        <w:t xml:space="preserve"> a five-stage framework that can be used</w:t>
      </w:r>
      <w:r w:rsidRPr="00F7449A">
        <w:rPr>
          <w:lang w:val="en-GB"/>
        </w:rPr>
        <w:t xml:space="preserve"> to assess </w:t>
      </w:r>
      <w:r>
        <w:rPr>
          <w:lang w:val="en-GB"/>
        </w:rPr>
        <w:t xml:space="preserve">the </w:t>
      </w:r>
      <w:r w:rsidRPr="00F7449A">
        <w:rPr>
          <w:lang w:val="en-GB"/>
        </w:rPr>
        <w:t>resilience of farming systems. Central are the resilience capacities of robustness, adaptability, and transformability.</w:t>
      </w:r>
    </w:p>
    <w:p w14:paraId="05EC2FA2" w14:textId="77777777" w:rsidR="00371071" w:rsidRDefault="00371071" w:rsidP="00371071">
      <w:pPr>
        <w:pStyle w:val="NoSpacing"/>
        <w:rPr>
          <w:lang w:val="en-GB"/>
        </w:rPr>
      </w:pPr>
    </w:p>
    <w:p w14:paraId="50EBFFEA" w14:textId="77777777" w:rsidR="00371071" w:rsidRDefault="00371071" w:rsidP="00371071">
      <w:pPr>
        <w:pStyle w:val="NoSpacing"/>
        <w:numPr>
          <w:ilvl w:val="0"/>
          <w:numId w:val="14"/>
        </w:numPr>
        <w:rPr>
          <w:lang w:val="en-GB"/>
        </w:rPr>
      </w:pPr>
      <w:proofErr w:type="spellStart"/>
      <w:r w:rsidRPr="007F2C34">
        <w:rPr>
          <w:lang w:val="en-GB"/>
        </w:rPr>
        <w:t>Duchek</w:t>
      </w:r>
      <w:proofErr w:type="spellEnd"/>
      <w:r w:rsidRPr="007F2C34">
        <w:rPr>
          <w:lang w:val="en-GB"/>
        </w:rPr>
        <w:t xml:space="preserve">, S. (2020). Organizational resilience: A capability-based conceptualization. </w:t>
      </w:r>
      <w:r w:rsidRPr="007F2C34">
        <w:rPr>
          <w:i/>
          <w:iCs/>
          <w:lang w:val="en-GB"/>
        </w:rPr>
        <w:t>Business Research</w:t>
      </w:r>
      <w:r w:rsidRPr="007F2C34">
        <w:rPr>
          <w:lang w:val="en-GB"/>
        </w:rPr>
        <w:t xml:space="preserve">, </w:t>
      </w:r>
      <w:r w:rsidRPr="007F2C34">
        <w:rPr>
          <w:i/>
          <w:iCs/>
          <w:lang w:val="en-GB"/>
        </w:rPr>
        <w:t>13</w:t>
      </w:r>
      <w:r w:rsidRPr="007F2C34">
        <w:rPr>
          <w:lang w:val="en-GB"/>
        </w:rPr>
        <w:t xml:space="preserve">(1), 215–246. </w:t>
      </w:r>
      <w:hyperlink r:id="rId20" w:history="1">
        <w:r w:rsidRPr="00913E20">
          <w:rPr>
            <w:rStyle w:val="Hyperlink"/>
            <w:lang w:val="en-GB"/>
          </w:rPr>
          <w:t>https://doi.org/10.1007/s40685-019-0085-7</w:t>
        </w:r>
      </w:hyperlink>
    </w:p>
    <w:p w14:paraId="08C59857" w14:textId="77777777" w:rsidR="00371071" w:rsidRDefault="00371071" w:rsidP="00371071">
      <w:pPr>
        <w:pStyle w:val="NoSpacing"/>
        <w:ind w:left="720"/>
        <w:rPr>
          <w:lang w:val="en-GB"/>
        </w:rPr>
      </w:pPr>
    </w:p>
    <w:p w14:paraId="1F71FD67" w14:textId="77777777" w:rsidR="00371071" w:rsidRPr="007F2C34" w:rsidRDefault="00371071" w:rsidP="00371071">
      <w:pPr>
        <w:pStyle w:val="NoSpacing"/>
        <w:ind w:left="720"/>
        <w:rPr>
          <w:lang w:val="en-GB"/>
        </w:rPr>
      </w:pPr>
      <w:proofErr w:type="spellStart"/>
      <w:r>
        <w:rPr>
          <w:lang w:val="en-GB"/>
        </w:rPr>
        <w:t>Duchek</w:t>
      </w:r>
      <w:proofErr w:type="spellEnd"/>
      <w:r>
        <w:rPr>
          <w:lang w:val="en-GB"/>
        </w:rPr>
        <w:t xml:space="preserve"> (2020) introduces an additional resilience capacity: anticipation. She argues that time references matter: 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anticipation happens before an unexpected event, (ii) coping (robustness in Meuwissen et al. (2019)) happens during an unexpected event, and (iii) adaptation (adaptability and transformability in Meuwissen et al. (2019)) </w:t>
      </w:r>
    </w:p>
    <w:p w14:paraId="731309F1" w14:textId="77777777" w:rsidR="00371071" w:rsidRDefault="00371071" w:rsidP="00371071">
      <w:pPr>
        <w:pStyle w:val="NoSpacing"/>
        <w:rPr>
          <w:lang w:val="en-GB"/>
        </w:rPr>
      </w:pPr>
    </w:p>
    <w:p w14:paraId="3C71653A" w14:textId="77777777" w:rsidR="00371071" w:rsidRPr="007F2C34" w:rsidRDefault="00371071" w:rsidP="00371071">
      <w:pPr>
        <w:pStyle w:val="Heading2"/>
        <w:rPr>
          <w:lang w:val="en-GB"/>
        </w:rPr>
      </w:pPr>
      <w:r w:rsidRPr="007F2C34">
        <w:rPr>
          <w:lang w:val="en-GB"/>
        </w:rPr>
        <w:t>How to assess resilience?</w:t>
      </w:r>
    </w:p>
    <w:p w14:paraId="65453384" w14:textId="77777777" w:rsidR="00371071" w:rsidRPr="00F7449A" w:rsidRDefault="00371071" w:rsidP="00371071">
      <w:pPr>
        <w:pStyle w:val="ListParagraph"/>
        <w:numPr>
          <w:ilvl w:val="0"/>
          <w:numId w:val="14"/>
        </w:numPr>
        <w:rPr>
          <w:lang w:val="en-GB"/>
        </w:rPr>
      </w:pPr>
      <w:r w:rsidRPr="00F7449A">
        <w:t xml:space="preserve">Slijper, T., de Mey, Y., Poortvliet, P. M., &amp; Meuwissen, M. P. M. (2022). </w:t>
      </w:r>
      <w:r w:rsidRPr="00F7449A">
        <w:rPr>
          <w:lang w:val="en-GB"/>
        </w:rPr>
        <w:t xml:space="preserve">Quantifying the resilience of European farms using FADN. </w:t>
      </w:r>
      <w:r w:rsidRPr="00F7449A">
        <w:rPr>
          <w:i/>
          <w:iCs/>
          <w:lang w:val="en-GB"/>
        </w:rPr>
        <w:t>European Review of Agricultural Economics</w:t>
      </w:r>
      <w:r w:rsidRPr="00F7449A">
        <w:rPr>
          <w:lang w:val="en-GB"/>
        </w:rPr>
        <w:t xml:space="preserve">, </w:t>
      </w:r>
      <w:r w:rsidRPr="00F7449A">
        <w:rPr>
          <w:i/>
          <w:iCs/>
          <w:lang w:val="en-GB"/>
        </w:rPr>
        <w:t>49</w:t>
      </w:r>
      <w:r w:rsidRPr="00F7449A">
        <w:rPr>
          <w:lang w:val="en-GB"/>
        </w:rPr>
        <w:t xml:space="preserve">(1), 121–150. </w:t>
      </w:r>
      <w:hyperlink r:id="rId21" w:history="1">
        <w:r w:rsidRPr="00F7449A">
          <w:rPr>
            <w:rStyle w:val="Hyperlink"/>
            <w:lang w:val="en-GB"/>
          </w:rPr>
          <w:t>https://doi.org/10.1093/erae/jbab042</w:t>
        </w:r>
      </w:hyperlink>
      <w:r w:rsidRPr="00F7449A">
        <w:rPr>
          <w:lang w:val="en-GB"/>
        </w:rPr>
        <w:t xml:space="preserve"> </w:t>
      </w:r>
    </w:p>
    <w:p w14:paraId="2AD639CD" w14:textId="77777777" w:rsidR="00371071" w:rsidRPr="007F2C34" w:rsidRDefault="00371071" w:rsidP="00371071">
      <w:pPr>
        <w:ind w:left="720"/>
        <w:rPr>
          <w:lang w:val="en-GB"/>
        </w:rPr>
      </w:pPr>
      <w:r>
        <w:rPr>
          <w:lang w:val="en-GB"/>
        </w:rPr>
        <w:t xml:space="preserve">Slijper et al. (2022) attempt to empirically measure the resilience capacities of robustness, adaptation, and transformation for European farms. </w:t>
      </w:r>
    </w:p>
    <w:p w14:paraId="7774480F" w14:textId="77777777" w:rsidR="00371071" w:rsidRPr="00F7449A" w:rsidRDefault="00371071" w:rsidP="00371071">
      <w:pPr>
        <w:pStyle w:val="ListParagraph"/>
        <w:numPr>
          <w:ilvl w:val="0"/>
          <w:numId w:val="14"/>
        </w:numPr>
        <w:rPr>
          <w:lang w:val="en-GB"/>
        </w:rPr>
      </w:pPr>
      <w:proofErr w:type="spellStart"/>
      <w:r w:rsidRPr="00F7449A">
        <w:rPr>
          <w:lang w:val="en-GB"/>
        </w:rPr>
        <w:lastRenderedPageBreak/>
        <w:t>Srinidhi</w:t>
      </w:r>
      <w:proofErr w:type="spellEnd"/>
      <w:r w:rsidRPr="00F7449A">
        <w:rPr>
          <w:lang w:val="en-GB"/>
        </w:rPr>
        <w:t xml:space="preserve">, A., </w:t>
      </w:r>
      <w:proofErr w:type="spellStart"/>
      <w:r w:rsidRPr="00F7449A">
        <w:rPr>
          <w:lang w:val="en-GB"/>
        </w:rPr>
        <w:t>Werners</w:t>
      </w:r>
      <w:proofErr w:type="spellEnd"/>
      <w:r w:rsidRPr="00F7449A">
        <w:rPr>
          <w:lang w:val="en-GB"/>
        </w:rPr>
        <w:t xml:space="preserve">, S. E., </w:t>
      </w:r>
      <w:proofErr w:type="spellStart"/>
      <w:r w:rsidRPr="00F7449A">
        <w:rPr>
          <w:lang w:val="en-GB"/>
        </w:rPr>
        <w:t>Dadas</w:t>
      </w:r>
      <w:proofErr w:type="spellEnd"/>
      <w:r w:rsidRPr="00F7449A">
        <w:rPr>
          <w:lang w:val="en-GB"/>
        </w:rPr>
        <w:t xml:space="preserve">, D., D’Souza, M., Ludwig, F., &amp; Meuwissen, M. P. M. (2023). Retrospective climate resilience assessment of semi-arid farming systems in India. </w:t>
      </w:r>
      <w:r w:rsidRPr="00F7449A">
        <w:rPr>
          <w:i/>
          <w:iCs/>
          <w:lang w:val="en-GB"/>
        </w:rPr>
        <w:t>International Journal of Water Resources Development</w:t>
      </w:r>
      <w:r w:rsidRPr="00F7449A">
        <w:rPr>
          <w:lang w:val="en-GB"/>
        </w:rPr>
        <w:t xml:space="preserve">, 1–26. </w:t>
      </w:r>
      <w:hyperlink r:id="rId22" w:history="1">
        <w:r w:rsidRPr="00F7449A">
          <w:rPr>
            <w:rStyle w:val="Hyperlink"/>
            <w:lang w:val="en-GB"/>
          </w:rPr>
          <w:t>https://doi.org/10.1080/07900627.2023.2207680</w:t>
        </w:r>
      </w:hyperlink>
      <w:r w:rsidRPr="00F7449A">
        <w:rPr>
          <w:lang w:val="en-GB"/>
        </w:rPr>
        <w:t xml:space="preserve"> </w:t>
      </w:r>
    </w:p>
    <w:p w14:paraId="42FD5871" w14:textId="77777777" w:rsidR="00371071" w:rsidRPr="007F2C34" w:rsidRDefault="00371071" w:rsidP="00371071">
      <w:pPr>
        <w:pStyle w:val="NoSpacing"/>
        <w:ind w:firstLine="720"/>
        <w:rPr>
          <w:lang w:val="en-GB"/>
        </w:rPr>
      </w:pPr>
      <w:proofErr w:type="spellStart"/>
      <w:r>
        <w:rPr>
          <w:lang w:val="en-GB"/>
        </w:rPr>
        <w:t>Srinidhi</w:t>
      </w:r>
      <w:proofErr w:type="spellEnd"/>
      <w:r>
        <w:rPr>
          <w:lang w:val="en-GB"/>
        </w:rPr>
        <w:t xml:space="preserve"> et al. (2023) are among the first to adopt </w:t>
      </w:r>
      <w:proofErr w:type="spellStart"/>
      <w:r>
        <w:rPr>
          <w:lang w:val="en-GB"/>
        </w:rPr>
        <w:t>Duchek’s</w:t>
      </w:r>
      <w:proofErr w:type="spellEnd"/>
      <w:r>
        <w:rPr>
          <w:lang w:val="en-GB"/>
        </w:rPr>
        <w:t xml:space="preserve"> (2020) framework. </w:t>
      </w:r>
    </w:p>
    <w:p w14:paraId="0C36BD99" w14:textId="77777777" w:rsidR="00371071" w:rsidRPr="00926D77" w:rsidRDefault="00371071" w:rsidP="00371071">
      <w:pPr>
        <w:pStyle w:val="Heading1"/>
        <w:rPr>
          <w:lang w:val="en-GB"/>
        </w:rPr>
      </w:pPr>
    </w:p>
    <w:p w14:paraId="71F27EE2" w14:textId="77777777" w:rsidR="002B2256" w:rsidRDefault="002B2256" w:rsidP="002B2256">
      <w:pPr>
        <w:keepNext/>
        <w:keepLines/>
        <w:spacing w:before="240"/>
        <w:outlineLvl w:val="0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val="en-GB" w:eastAsia="sv-SE"/>
        </w:rPr>
      </w:pPr>
      <w:r w:rsidRPr="00ED5AEE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val="en-GB" w:eastAsia="sv-SE"/>
        </w:rPr>
        <w:t>Topic 4: Experimental methods to study farmer behaviours and preferences</w:t>
      </w:r>
    </w:p>
    <w:p w14:paraId="7EFA9E75" w14:textId="63FB22D9" w:rsidR="002B2256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</w:rPr>
      </w:pPr>
      <w:r w:rsidRPr="00075600">
        <w:rPr>
          <w:rFonts w:eastAsia="Times New Roman" w:cstheme="minorHAnsi"/>
          <w:lang w:val="en-US"/>
        </w:rPr>
        <w:t xml:space="preserve">Aker, J. C. (2011). Dial “A” for agriculture: A review of information and communication technologies for agricultural extension in developing countries. </w:t>
      </w:r>
      <w:r w:rsidRPr="00075600">
        <w:rPr>
          <w:rFonts w:eastAsia="Times New Roman" w:cstheme="minorHAnsi"/>
          <w:i/>
          <w:iCs/>
        </w:rPr>
        <w:t>Agricultural Economics</w:t>
      </w:r>
      <w:r w:rsidRPr="00075600">
        <w:rPr>
          <w:rFonts w:eastAsia="Times New Roman" w:cstheme="minorHAnsi"/>
        </w:rPr>
        <w:t xml:space="preserve">, </w:t>
      </w:r>
      <w:r w:rsidRPr="00075600">
        <w:rPr>
          <w:rFonts w:eastAsia="Times New Roman" w:cstheme="minorHAnsi"/>
          <w:i/>
          <w:iCs/>
        </w:rPr>
        <w:t>42</w:t>
      </w:r>
      <w:r w:rsidRPr="00075600">
        <w:rPr>
          <w:rFonts w:eastAsia="Times New Roman" w:cstheme="minorHAnsi"/>
        </w:rPr>
        <w:t xml:space="preserve">(6), 631-647. </w:t>
      </w:r>
      <w:hyperlink r:id="rId23" w:history="1">
        <w:r w:rsidRPr="00075600">
          <w:rPr>
            <w:rStyle w:val="Hyperlink"/>
            <w:rFonts w:eastAsia="Times New Roman" w:cstheme="minorHAnsi"/>
          </w:rPr>
          <w:t>https://doi.org/10.1111/j.1574-0862.2011.00545.x</w:t>
        </w:r>
      </w:hyperlink>
    </w:p>
    <w:p w14:paraId="3474CB1B" w14:textId="77777777" w:rsidR="00075600" w:rsidRPr="00075600" w:rsidRDefault="00075600" w:rsidP="00075600">
      <w:pPr>
        <w:pStyle w:val="ListParagraph"/>
        <w:spacing w:after="0" w:line="240" w:lineRule="auto"/>
        <w:rPr>
          <w:rFonts w:eastAsia="Times New Roman" w:cstheme="minorHAnsi"/>
        </w:rPr>
      </w:pPr>
    </w:p>
    <w:p w14:paraId="6F9DE02B" w14:textId="2D1362D3" w:rsidR="002B2256" w:rsidRPr="00075600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eastAsia="Times New Roman" w:cstheme="minorHAnsi"/>
          <w:color w:val="auto"/>
          <w:u w:val="none"/>
          <w:lang w:val="en-US"/>
        </w:rPr>
      </w:pPr>
      <w:proofErr w:type="spellStart"/>
      <w:r w:rsidRPr="00075600">
        <w:rPr>
          <w:rFonts w:eastAsia="Times New Roman" w:cstheme="minorHAnsi"/>
        </w:rPr>
        <w:t>Olum</w:t>
      </w:r>
      <w:proofErr w:type="spellEnd"/>
      <w:r w:rsidRPr="00075600">
        <w:rPr>
          <w:rFonts w:eastAsia="Times New Roman" w:cstheme="minorHAnsi"/>
        </w:rPr>
        <w:t xml:space="preserve">, S., </w:t>
      </w:r>
      <w:proofErr w:type="spellStart"/>
      <w:r w:rsidRPr="00075600">
        <w:rPr>
          <w:rFonts w:eastAsia="Times New Roman" w:cstheme="minorHAnsi"/>
        </w:rPr>
        <w:t>Gellynck</w:t>
      </w:r>
      <w:proofErr w:type="spellEnd"/>
      <w:r w:rsidRPr="00075600">
        <w:rPr>
          <w:rFonts w:eastAsia="Times New Roman" w:cstheme="minorHAnsi"/>
        </w:rPr>
        <w:t xml:space="preserve">, X., </w:t>
      </w:r>
      <w:proofErr w:type="spellStart"/>
      <w:r w:rsidRPr="00075600">
        <w:rPr>
          <w:rFonts w:eastAsia="Times New Roman" w:cstheme="minorHAnsi"/>
        </w:rPr>
        <w:t>Juvinal</w:t>
      </w:r>
      <w:proofErr w:type="spellEnd"/>
      <w:r w:rsidRPr="00075600">
        <w:rPr>
          <w:rFonts w:eastAsia="Times New Roman" w:cstheme="minorHAnsi"/>
        </w:rPr>
        <w:t xml:space="preserve">, J., </w:t>
      </w:r>
      <w:proofErr w:type="spellStart"/>
      <w:r w:rsidRPr="00075600">
        <w:rPr>
          <w:rFonts w:eastAsia="Times New Roman" w:cstheme="minorHAnsi"/>
        </w:rPr>
        <w:t>Ongeng</w:t>
      </w:r>
      <w:proofErr w:type="spellEnd"/>
      <w:r w:rsidRPr="00075600">
        <w:rPr>
          <w:rFonts w:eastAsia="Times New Roman" w:cstheme="minorHAnsi"/>
        </w:rPr>
        <w:t xml:space="preserve">, D., &amp; De </w:t>
      </w:r>
      <w:proofErr w:type="spellStart"/>
      <w:r w:rsidRPr="00075600">
        <w:rPr>
          <w:rFonts w:eastAsia="Times New Roman" w:cstheme="minorHAnsi"/>
        </w:rPr>
        <w:t>Steur</w:t>
      </w:r>
      <w:proofErr w:type="spellEnd"/>
      <w:r w:rsidRPr="00075600">
        <w:rPr>
          <w:rFonts w:eastAsia="Times New Roman" w:cstheme="minorHAnsi"/>
        </w:rPr>
        <w:t xml:space="preserve">, H. (2020). </w:t>
      </w:r>
      <w:r w:rsidRPr="00075600">
        <w:rPr>
          <w:rFonts w:eastAsia="Times New Roman" w:cstheme="minorHAnsi"/>
          <w:lang w:val="en-US"/>
        </w:rPr>
        <w:t xml:space="preserve">Farmers’ adoption of agricultural innovations: A systematic review on willingness to pay studies. </w:t>
      </w:r>
      <w:r w:rsidRPr="00075600">
        <w:rPr>
          <w:rFonts w:eastAsia="Times New Roman" w:cstheme="minorHAnsi"/>
          <w:i/>
          <w:lang w:val="en-US"/>
        </w:rPr>
        <w:t>Outlook on Agriculture</w:t>
      </w:r>
      <w:r w:rsidRPr="00075600">
        <w:rPr>
          <w:rFonts w:eastAsia="Times New Roman" w:cstheme="minorHAnsi"/>
          <w:lang w:val="en-US"/>
        </w:rPr>
        <w:t xml:space="preserve">, 49(3), 187-203. </w:t>
      </w:r>
      <w:hyperlink r:id="rId24" w:history="1">
        <w:r w:rsidRPr="00075600">
          <w:rPr>
            <w:rStyle w:val="Hyperlink"/>
            <w:rFonts w:cstheme="minorHAnsi"/>
          </w:rPr>
          <w:t>https://doi.org/10.1177/0030727019879453</w:t>
        </w:r>
      </w:hyperlink>
    </w:p>
    <w:p w14:paraId="32A7B487" w14:textId="77777777" w:rsidR="00075600" w:rsidRPr="00075600" w:rsidRDefault="00075600" w:rsidP="00075600">
      <w:pPr>
        <w:pStyle w:val="ListParagraph"/>
        <w:rPr>
          <w:rFonts w:eastAsia="Times New Roman" w:cstheme="minorHAnsi"/>
          <w:lang w:val="en-US"/>
        </w:rPr>
      </w:pPr>
    </w:p>
    <w:p w14:paraId="10AC4B79" w14:textId="77777777" w:rsidR="00075600" w:rsidRPr="00075600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eastAsia="Times New Roman" w:cstheme="minorHAnsi"/>
          <w:color w:val="auto"/>
          <w:u w:val="none"/>
          <w:lang w:val="en-US"/>
        </w:rPr>
      </w:pPr>
      <w:proofErr w:type="spellStart"/>
      <w:r w:rsidRPr="00075600">
        <w:rPr>
          <w:rFonts w:eastAsia="Times New Roman" w:cstheme="minorHAnsi"/>
        </w:rPr>
        <w:t>Blasch</w:t>
      </w:r>
      <w:proofErr w:type="spellEnd"/>
      <w:r w:rsidRPr="00075600">
        <w:rPr>
          <w:rFonts w:eastAsia="Times New Roman" w:cstheme="minorHAnsi"/>
        </w:rPr>
        <w:t xml:space="preserve">, J., Van </w:t>
      </w:r>
      <w:proofErr w:type="spellStart"/>
      <w:r w:rsidRPr="00075600">
        <w:rPr>
          <w:rFonts w:eastAsia="Times New Roman" w:cstheme="minorHAnsi"/>
        </w:rPr>
        <w:t>Beukering</w:t>
      </w:r>
      <w:proofErr w:type="spellEnd"/>
      <w:r w:rsidRPr="00075600">
        <w:rPr>
          <w:rFonts w:eastAsia="Times New Roman" w:cstheme="minorHAnsi"/>
        </w:rPr>
        <w:t xml:space="preserve">, P., Munster, R., </w:t>
      </w:r>
      <w:proofErr w:type="spellStart"/>
      <w:r w:rsidRPr="00075600">
        <w:rPr>
          <w:rFonts w:eastAsia="Times New Roman" w:cstheme="minorHAnsi"/>
        </w:rPr>
        <w:t>Fabiani</w:t>
      </w:r>
      <w:proofErr w:type="spellEnd"/>
      <w:r w:rsidRPr="00075600">
        <w:rPr>
          <w:rFonts w:eastAsia="Times New Roman" w:cstheme="minorHAnsi"/>
        </w:rPr>
        <w:t xml:space="preserve">, S., Nino, P., &amp; </w:t>
      </w:r>
      <w:proofErr w:type="spellStart"/>
      <w:r w:rsidRPr="00075600">
        <w:rPr>
          <w:rFonts w:eastAsia="Times New Roman" w:cstheme="minorHAnsi"/>
        </w:rPr>
        <w:t>Vanino</w:t>
      </w:r>
      <w:proofErr w:type="spellEnd"/>
      <w:r w:rsidRPr="00075600">
        <w:rPr>
          <w:rFonts w:eastAsia="Times New Roman" w:cstheme="minorHAnsi"/>
        </w:rPr>
        <w:t xml:space="preserve">, S. (2022). </w:t>
      </w:r>
      <w:r w:rsidRPr="00075600">
        <w:rPr>
          <w:rFonts w:eastAsia="Times New Roman" w:cstheme="minorHAnsi"/>
          <w:lang w:val="en-US"/>
        </w:rPr>
        <w:t xml:space="preserve">Farmer preferences for adopting precision farming technologies: A case study from Italy. </w:t>
      </w:r>
      <w:r w:rsidRPr="00075600">
        <w:rPr>
          <w:rFonts w:eastAsia="Times New Roman" w:cstheme="minorHAnsi"/>
          <w:i/>
          <w:lang w:val="en-US"/>
        </w:rPr>
        <w:t>European Review of Agricultural Economics</w:t>
      </w:r>
      <w:r w:rsidRPr="00075600">
        <w:rPr>
          <w:rFonts w:eastAsia="Times New Roman" w:cstheme="minorHAnsi"/>
          <w:lang w:val="en-US"/>
        </w:rPr>
        <w:t xml:space="preserve">, 49(1), 33-81. </w:t>
      </w:r>
      <w:hyperlink r:id="rId25" w:history="1">
        <w:r w:rsidRPr="00075600">
          <w:rPr>
            <w:rStyle w:val="Hyperlink"/>
            <w:rFonts w:cstheme="minorHAnsi"/>
          </w:rPr>
          <w:t>https://doi.org/10.1093/erae/jbaa031</w:t>
        </w:r>
      </w:hyperlink>
      <w:r w:rsidRPr="00075600">
        <w:rPr>
          <w:rStyle w:val="Hyperlink"/>
          <w:rFonts w:cstheme="minorHAnsi"/>
        </w:rPr>
        <w:t xml:space="preserve"> </w:t>
      </w:r>
    </w:p>
    <w:p w14:paraId="15D334D2" w14:textId="77777777" w:rsidR="00075600" w:rsidRPr="00075600" w:rsidRDefault="00075600" w:rsidP="00075600">
      <w:pPr>
        <w:pStyle w:val="ListParagraph"/>
        <w:rPr>
          <w:rStyle w:val="Hyperlink"/>
          <w:rFonts w:cstheme="minorHAnsi"/>
        </w:rPr>
      </w:pPr>
    </w:p>
    <w:p w14:paraId="22C23B25" w14:textId="46748E26" w:rsidR="002B2256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cstheme="minorHAnsi"/>
        </w:rPr>
      </w:pPr>
      <w:r w:rsidRPr="00075600">
        <w:rPr>
          <w:rFonts w:eastAsia="Times New Roman" w:cstheme="minorHAnsi"/>
          <w:lang w:val="en-US"/>
        </w:rPr>
        <w:t xml:space="preserve">Oyinbo, O., &amp; Hansson, H. (2024). Understanding dairy farmers' trade-offs between environmental, social and economic sustainability attributes in feeding systems: The role of farmers' identities. </w:t>
      </w:r>
      <w:r w:rsidRPr="00075600">
        <w:rPr>
          <w:rFonts w:eastAsia="Times New Roman" w:cstheme="minorHAnsi"/>
          <w:i/>
          <w:lang w:val="en-US"/>
        </w:rPr>
        <w:t>Journal of Agricultural Economics</w:t>
      </w:r>
      <w:r w:rsidRPr="00075600">
        <w:rPr>
          <w:rFonts w:eastAsia="Times New Roman" w:cstheme="minorHAnsi"/>
          <w:lang w:val="en-US"/>
        </w:rPr>
        <w:t xml:space="preserve">, 75(3), 869-888. </w:t>
      </w:r>
      <w:hyperlink r:id="rId26" w:history="1">
        <w:r w:rsidRPr="00075600">
          <w:rPr>
            <w:rStyle w:val="Hyperlink"/>
            <w:rFonts w:cstheme="minorHAnsi"/>
          </w:rPr>
          <w:t>https://doi.org/10.1111/1477-9552.12588</w:t>
        </w:r>
      </w:hyperlink>
    </w:p>
    <w:p w14:paraId="007E3342" w14:textId="5DEC694A" w:rsidR="00075600" w:rsidRPr="00075600" w:rsidRDefault="00075600" w:rsidP="00075600">
      <w:pPr>
        <w:spacing w:after="0" w:line="240" w:lineRule="auto"/>
        <w:rPr>
          <w:rStyle w:val="Hyperlink"/>
          <w:rFonts w:cstheme="minorHAnsi"/>
        </w:rPr>
      </w:pPr>
    </w:p>
    <w:p w14:paraId="1063CF90" w14:textId="24E4EB8D" w:rsidR="002B2256" w:rsidRPr="00075600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eastAsia="Times New Roman" w:cstheme="minorHAnsi"/>
          <w:color w:val="auto"/>
          <w:u w:val="none"/>
          <w:lang w:val="en-US"/>
        </w:rPr>
      </w:pPr>
      <w:proofErr w:type="spellStart"/>
      <w:r w:rsidRPr="00075600">
        <w:rPr>
          <w:rFonts w:eastAsia="Times New Roman" w:cstheme="minorHAnsi"/>
          <w:lang w:val="en-US"/>
        </w:rPr>
        <w:t>Alpizar</w:t>
      </w:r>
      <w:proofErr w:type="spellEnd"/>
      <w:r w:rsidRPr="00075600">
        <w:rPr>
          <w:rFonts w:eastAsia="Times New Roman" w:cstheme="minorHAnsi"/>
          <w:lang w:val="en-US"/>
        </w:rPr>
        <w:t xml:space="preserve">, F., Carlsson, F., &amp; Naranjo, M. A. (2011). The effect of ambiguous risk, and coordination on farmers' adaptation to climate change — </w:t>
      </w:r>
      <w:proofErr w:type="gramStart"/>
      <w:r w:rsidRPr="00075600">
        <w:rPr>
          <w:rFonts w:eastAsia="Times New Roman" w:cstheme="minorHAnsi"/>
          <w:lang w:val="en-US"/>
        </w:rPr>
        <w:t>A</w:t>
      </w:r>
      <w:proofErr w:type="gramEnd"/>
      <w:r w:rsidRPr="00075600">
        <w:rPr>
          <w:rFonts w:eastAsia="Times New Roman" w:cstheme="minorHAnsi"/>
          <w:lang w:val="en-US"/>
        </w:rPr>
        <w:t xml:space="preserve"> framed field experiment. Ecological Economics, 70(12), 2317-2326. </w:t>
      </w:r>
      <w:hyperlink r:id="rId27" w:history="1">
        <w:r w:rsidRPr="00075600">
          <w:rPr>
            <w:rStyle w:val="Hyperlink"/>
            <w:rFonts w:eastAsia="Times New Roman" w:cstheme="minorHAnsi"/>
            <w:lang w:val="en-US"/>
          </w:rPr>
          <w:t>https://doi.org/10.1016/j.ecolecon.2011.07.004</w:t>
        </w:r>
      </w:hyperlink>
    </w:p>
    <w:p w14:paraId="7D2D4D18" w14:textId="71C4B4F4" w:rsidR="00075600" w:rsidRPr="00075600" w:rsidRDefault="00075600" w:rsidP="00075600">
      <w:pPr>
        <w:spacing w:after="0" w:line="240" w:lineRule="auto"/>
        <w:rPr>
          <w:rFonts w:eastAsia="Times New Roman" w:cstheme="minorHAnsi"/>
          <w:lang w:val="en-US"/>
        </w:rPr>
      </w:pPr>
    </w:p>
    <w:p w14:paraId="601E87F9" w14:textId="77777777" w:rsidR="002B2256" w:rsidRPr="00075600" w:rsidRDefault="002B2256" w:rsidP="002B2256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cstheme="minorHAnsi"/>
        </w:rPr>
      </w:pPr>
      <w:proofErr w:type="spellStart"/>
      <w:r w:rsidRPr="00075600">
        <w:rPr>
          <w:rFonts w:eastAsia="Times New Roman" w:cstheme="minorHAnsi"/>
          <w:lang w:val="en-US"/>
        </w:rPr>
        <w:t>Campenhout</w:t>
      </w:r>
      <w:proofErr w:type="spellEnd"/>
      <w:r w:rsidRPr="00075600">
        <w:rPr>
          <w:rFonts w:eastAsia="Times New Roman" w:cstheme="minorHAnsi"/>
          <w:lang w:val="en-US"/>
        </w:rPr>
        <w:t xml:space="preserve">, B. V., </w:t>
      </w:r>
      <w:proofErr w:type="spellStart"/>
      <w:r w:rsidRPr="00075600">
        <w:rPr>
          <w:rFonts w:eastAsia="Times New Roman" w:cstheme="minorHAnsi"/>
          <w:lang w:val="en-US"/>
        </w:rPr>
        <w:t>Spielman</w:t>
      </w:r>
      <w:proofErr w:type="spellEnd"/>
      <w:r w:rsidRPr="00075600">
        <w:rPr>
          <w:rFonts w:eastAsia="Times New Roman" w:cstheme="minorHAnsi"/>
          <w:lang w:val="en-US"/>
        </w:rPr>
        <w:t xml:space="preserve">, D. J., &amp; </w:t>
      </w:r>
      <w:proofErr w:type="spellStart"/>
      <w:r w:rsidRPr="00075600">
        <w:rPr>
          <w:rFonts w:eastAsia="Times New Roman" w:cstheme="minorHAnsi"/>
          <w:lang w:val="en-US"/>
        </w:rPr>
        <w:t>Lecoutere</w:t>
      </w:r>
      <w:proofErr w:type="spellEnd"/>
      <w:r w:rsidRPr="00075600">
        <w:rPr>
          <w:rFonts w:eastAsia="Times New Roman" w:cstheme="minorHAnsi"/>
          <w:lang w:val="en-US"/>
        </w:rPr>
        <w:t xml:space="preserve">, E. (2020). Information and Communication Technologies to Provide Agricultural Advice to Smallholder Farmers: Experimental Evidence from Uganda. </w:t>
      </w:r>
      <w:r w:rsidRPr="00075600">
        <w:rPr>
          <w:rFonts w:eastAsia="Times New Roman" w:cstheme="minorHAnsi"/>
          <w:i/>
          <w:lang w:val="en-US"/>
        </w:rPr>
        <w:t>American Journal of Agricultural Economics</w:t>
      </w:r>
      <w:r w:rsidRPr="00075600">
        <w:rPr>
          <w:rFonts w:eastAsia="Times New Roman" w:cstheme="minorHAnsi"/>
          <w:lang w:val="en-US"/>
        </w:rPr>
        <w:t xml:space="preserve">, 103(1), 317-337. </w:t>
      </w:r>
      <w:hyperlink r:id="rId28" w:history="1">
        <w:r w:rsidRPr="00075600">
          <w:rPr>
            <w:rStyle w:val="Hyperlink"/>
            <w:rFonts w:cstheme="minorHAnsi"/>
          </w:rPr>
          <w:t>https://doi.org/10.1002/ajae.12089</w:t>
        </w:r>
      </w:hyperlink>
      <w:r w:rsidRPr="00075600">
        <w:rPr>
          <w:rStyle w:val="Hyperlink"/>
          <w:rFonts w:cstheme="minorHAnsi"/>
        </w:rPr>
        <w:t xml:space="preserve">.  </w:t>
      </w:r>
    </w:p>
    <w:p w14:paraId="0E53524C" w14:textId="77777777" w:rsidR="002B2256" w:rsidRPr="0001063C" w:rsidRDefault="002B2256" w:rsidP="002B2256">
      <w:pPr>
        <w:pStyle w:val="ListParagraph"/>
        <w:spacing w:line="240" w:lineRule="auto"/>
        <w:rPr>
          <w:rStyle w:val="Hyperlink"/>
        </w:rPr>
      </w:pPr>
    </w:p>
    <w:p w14:paraId="2D88E43C" w14:textId="77777777" w:rsidR="002B2256" w:rsidRPr="00F45B48" w:rsidRDefault="002B2256" w:rsidP="002B2256">
      <w:pPr>
        <w:spacing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77A8953B" w14:textId="77777777" w:rsidR="002B2256" w:rsidRPr="0029384E" w:rsidRDefault="002B2256" w:rsidP="002B2256">
      <w:pPr>
        <w:spacing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622066C5" w14:textId="77777777" w:rsidR="00371071" w:rsidRPr="001157D3" w:rsidRDefault="00371071" w:rsidP="00371071">
      <w:pPr>
        <w:rPr>
          <w:lang w:val="en-US"/>
        </w:rPr>
      </w:pPr>
    </w:p>
    <w:p w14:paraId="101371C1" w14:textId="77777777" w:rsidR="00371071" w:rsidRDefault="00371071" w:rsidP="00371071"/>
    <w:p w14:paraId="471BD4C7" w14:textId="77777777" w:rsidR="00371071" w:rsidRPr="00371071" w:rsidRDefault="00371071" w:rsidP="00371071">
      <w:pPr>
        <w:rPr>
          <w:lang w:val="en-GB"/>
        </w:rPr>
      </w:pPr>
    </w:p>
    <w:p w14:paraId="34CF6D12" w14:textId="77777777" w:rsidR="00630BDF" w:rsidRPr="00FF30A0" w:rsidRDefault="00630BDF" w:rsidP="00FA369A">
      <w:pPr>
        <w:rPr>
          <w:rFonts w:cstheme="minorHAnsi"/>
          <w:lang w:val="en-GB"/>
        </w:rPr>
      </w:pPr>
    </w:p>
    <w:sectPr w:rsidR="00630BDF" w:rsidRPr="00FF30A0" w:rsidSect="005C15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B9C1" w14:textId="77777777" w:rsidR="00D61390" w:rsidRDefault="00D61390" w:rsidP="00D61390">
      <w:pPr>
        <w:spacing w:after="0" w:line="240" w:lineRule="auto"/>
      </w:pPr>
      <w:r>
        <w:separator/>
      </w:r>
    </w:p>
  </w:endnote>
  <w:endnote w:type="continuationSeparator" w:id="0">
    <w:p w14:paraId="3FADE151" w14:textId="77777777" w:rsidR="00D61390" w:rsidRDefault="00D61390" w:rsidP="00D6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860258"/>
      <w:docPartObj>
        <w:docPartGallery w:val="Page Numbers (Bottom of Page)"/>
        <w:docPartUnique/>
      </w:docPartObj>
    </w:sdtPr>
    <w:sdtEndPr/>
    <w:sdtContent>
      <w:p w14:paraId="687DBBCD" w14:textId="14280BA3" w:rsidR="00D47A00" w:rsidRDefault="00D47A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B5">
          <w:rPr>
            <w:noProof/>
          </w:rPr>
          <w:t>8</w:t>
        </w:r>
        <w:r>
          <w:fldChar w:fldCharType="end"/>
        </w:r>
      </w:p>
    </w:sdtContent>
  </w:sdt>
  <w:p w14:paraId="3A9A977E" w14:textId="77777777" w:rsidR="00D47A00" w:rsidRDefault="00D47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5D55" w14:textId="77777777" w:rsidR="00D61390" w:rsidRDefault="00D61390" w:rsidP="00D61390">
      <w:pPr>
        <w:spacing w:after="0" w:line="240" w:lineRule="auto"/>
      </w:pPr>
      <w:r>
        <w:separator/>
      </w:r>
    </w:p>
  </w:footnote>
  <w:footnote w:type="continuationSeparator" w:id="0">
    <w:p w14:paraId="1DA0FC36" w14:textId="77777777" w:rsidR="00D61390" w:rsidRDefault="00D61390" w:rsidP="00D6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1D2"/>
    <w:multiLevelType w:val="hybridMultilevel"/>
    <w:tmpl w:val="69F8C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7B0"/>
    <w:multiLevelType w:val="hybridMultilevel"/>
    <w:tmpl w:val="D9AA045E"/>
    <w:lvl w:ilvl="0" w:tplc="CDC0C8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238B"/>
    <w:multiLevelType w:val="hybridMultilevel"/>
    <w:tmpl w:val="7EEE00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E5D"/>
    <w:multiLevelType w:val="hybridMultilevel"/>
    <w:tmpl w:val="0F6632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403E"/>
    <w:multiLevelType w:val="hybridMultilevel"/>
    <w:tmpl w:val="9D9C128C"/>
    <w:lvl w:ilvl="0" w:tplc="A056A6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859"/>
    <w:multiLevelType w:val="hybridMultilevel"/>
    <w:tmpl w:val="47BEAE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71E"/>
    <w:multiLevelType w:val="hybridMultilevel"/>
    <w:tmpl w:val="E362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45D8C"/>
    <w:multiLevelType w:val="hybridMultilevel"/>
    <w:tmpl w:val="004CDD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17E9"/>
    <w:multiLevelType w:val="hybridMultilevel"/>
    <w:tmpl w:val="D25CAA6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A7763"/>
    <w:multiLevelType w:val="hybridMultilevel"/>
    <w:tmpl w:val="057492A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F42C5"/>
    <w:multiLevelType w:val="hybridMultilevel"/>
    <w:tmpl w:val="6C7EA6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68F1"/>
    <w:multiLevelType w:val="hybridMultilevel"/>
    <w:tmpl w:val="3690C41C"/>
    <w:lvl w:ilvl="0" w:tplc="8FF05B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61C72"/>
    <w:multiLevelType w:val="hybridMultilevel"/>
    <w:tmpl w:val="E33E5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64DA"/>
    <w:multiLevelType w:val="hybridMultilevel"/>
    <w:tmpl w:val="69F8C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D20EB"/>
    <w:multiLevelType w:val="hybridMultilevel"/>
    <w:tmpl w:val="17F20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1897"/>
    <w:multiLevelType w:val="hybridMultilevel"/>
    <w:tmpl w:val="69F8C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4AD"/>
    <w:multiLevelType w:val="hybridMultilevel"/>
    <w:tmpl w:val="70643216"/>
    <w:lvl w:ilvl="0" w:tplc="92786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F1C3E"/>
    <w:multiLevelType w:val="hybridMultilevel"/>
    <w:tmpl w:val="726061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0"/>
  </w:num>
  <w:num w:numId="16">
    <w:abstractNumId w:val="2"/>
  </w:num>
  <w:num w:numId="17">
    <w:abstractNumId w:val="14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85"/>
    <w:rsid w:val="00022761"/>
    <w:rsid w:val="00025FFF"/>
    <w:rsid w:val="00046294"/>
    <w:rsid w:val="00075600"/>
    <w:rsid w:val="00103FBD"/>
    <w:rsid w:val="00197884"/>
    <w:rsid w:val="001D3CC5"/>
    <w:rsid w:val="001F0000"/>
    <w:rsid w:val="002B2256"/>
    <w:rsid w:val="003663A8"/>
    <w:rsid w:val="00371071"/>
    <w:rsid w:val="003D3D3A"/>
    <w:rsid w:val="00592689"/>
    <w:rsid w:val="005C15DB"/>
    <w:rsid w:val="006134E3"/>
    <w:rsid w:val="00613708"/>
    <w:rsid w:val="00622C66"/>
    <w:rsid w:val="00624B7F"/>
    <w:rsid w:val="00630BDF"/>
    <w:rsid w:val="006315B5"/>
    <w:rsid w:val="00660F2B"/>
    <w:rsid w:val="006704D6"/>
    <w:rsid w:val="006A1115"/>
    <w:rsid w:val="006C7ABD"/>
    <w:rsid w:val="00701B25"/>
    <w:rsid w:val="00761685"/>
    <w:rsid w:val="007A1796"/>
    <w:rsid w:val="007F3219"/>
    <w:rsid w:val="00840DCE"/>
    <w:rsid w:val="008E1E25"/>
    <w:rsid w:val="00914196"/>
    <w:rsid w:val="0092539C"/>
    <w:rsid w:val="00933BF3"/>
    <w:rsid w:val="00A02C7C"/>
    <w:rsid w:val="00A11332"/>
    <w:rsid w:val="00A91329"/>
    <w:rsid w:val="00AE3EA9"/>
    <w:rsid w:val="00B42322"/>
    <w:rsid w:val="00BB5023"/>
    <w:rsid w:val="00C91D82"/>
    <w:rsid w:val="00D327F6"/>
    <w:rsid w:val="00D47A00"/>
    <w:rsid w:val="00D61390"/>
    <w:rsid w:val="00EC58E6"/>
    <w:rsid w:val="00ED5977"/>
    <w:rsid w:val="00F34C77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C85F"/>
  <w15:chartTrackingRefBased/>
  <w15:docId w15:val="{8E561AEB-398B-4CFB-8EDA-BC1F524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6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36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36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qFormat/>
    <w:rsid w:val="00FA36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A36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FA369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A369A"/>
    <w:pPr>
      <w:spacing w:line="240" w:lineRule="auto"/>
    </w:pPr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90"/>
  </w:style>
  <w:style w:type="paragraph" w:styleId="Footer">
    <w:name w:val="footer"/>
    <w:basedOn w:val="Normal"/>
    <w:link w:val="FooterChar"/>
    <w:uiPriority w:val="99"/>
    <w:unhideWhenUsed/>
    <w:rsid w:val="00D6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90"/>
  </w:style>
  <w:style w:type="character" w:styleId="CommentReference">
    <w:name w:val="annotation reference"/>
    <w:basedOn w:val="DefaultParagraphFont"/>
    <w:uiPriority w:val="99"/>
    <w:semiHidden/>
    <w:unhideWhenUsed/>
    <w:rsid w:val="00D47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1115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371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93/erae/jbab012" TargetMode="External"/><Relationship Id="rId18" Type="http://schemas.openxmlformats.org/officeDocument/2006/relationships/hyperlink" Target="https://doi.org/10.1016/j.agsy.2020.102997" TargetMode="External"/><Relationship Id="rId26" Type="http://schemas.openxmlformats.org/officeDocument/2006/relationships/hyperlink" Target="https://doi.org/10.1111/1477-9552.125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93/erae/jbab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08/BFJ-06-2022-0523" TargetMode="External"/><Relationship Id="rId17" Type="http://schemas.openxmlformats.org/officeDocument/2006/relationships/hyperlink" Target="https://doi.org/10.1016/j.livsci.2007.12.003" TargetMode="External"/><Relationship Id="rId25" Type="http://schemas.openxmlformats.org/officeDocument/2006/relationships/hyperlink" Target="https://doi.org/10.1093/erae/jbaa0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0962728600002438" TargetMode="External"/><Relationship Id="rId20" Type="http://schemas.openxmlformats.org/officeDocument/2006/relationships/hyperlink" Target="https://doi.org/10.1007/s40685-019-0085-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7/S1368980019001423" TargetMode="External"/><Relationship Id="rId24" Type="http://schemas.openxmlformats.org/officeDocument/2006/relationships/hyperlink" Target="https://doi.org/10.1177/0030727019879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23/A:1022994131594" TargetMode="External"/><Relationship Id="rId23" Type="http://schemas.openxmlformats.org/officeDocument/2006/relationships/hyperlink" Target="https://doi.org/10.1111/j.1574-0862.2011.00545.x" TargetMode="External"/><Relationship Id="rId28" Type="http://schemas.openxmlformats.org/officeDocument/2006/relationships/hyperlink" Target="https://doi.org/10.1002/ajae.12089" TargetMode="External"/><Relationship Id="rId10" Type="http://schemas.openxmlformats.org/officeDocument/2006/relationships/hyperlink" Target="https://doi.org/doi:10.1017/age.2022.29" TargetMode="External"/><Relationship Id="rId19" Type="http://schemas.openxmlformats.org/officeDocument/2006/relationships/hyperlink" Target="https://doi.org/10.1016/j.agsy.2019.102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DOI" TargetMode="External"/><Relationship Id="rId14" Type="http://schemas.openxmlformats.org/officeDocument/2006/relationships/hyperlink" Target="https://doi.org/10.7120/096272812X13345905673520" TargetMode="External"/><Relationship Id="rId22" Type="http://schemas.openxmlformats.org/officeDocument/2006/relationships/hyperlink" Target="https://doi.org/10.1080/07900627.2023.2207680" TargetMode="External"/><Relationship Id="rId27" Type="http://schemas.openxmlformats.org/officeDocument/2006/relationships/hyperlink" Target="https://doi.org/10.1016/j.ecolecon.2011.07.0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BFCA-A4DB-4195-A118-068F085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2498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Hansson</dc:creator>
  <cp:keywords/>
  <dc:description/>
  <cp:lastModifiedBy>Helena Hansson</cp:lastModifiedBy>
  <cp:revision>5</cp:revision>
  <dcterms:created xsi:type="dcterms:W3CDTF">2024-09-12T08:14:00Z</dcterms:created>
  <dcterms:modified xsi:type="dcterms:W3CDTF">2024-09-17T15:00:00Z</dcterms:modified>
</cp:coreProperties>
</file>